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188E" w:rsidRPr="00A47E7E" w:rsidRDefault="0056188E">
      <w:pPr>
        <w:rPr>
          <w:rFonts w:ascii="Calibri" w:hAnsi="Calibri" w:cs="Calibri"/>
          <w:lang w:val="sr-Latn-CS"/>
        </w:rPr>
      </w:pPr>
    </w:p>
    <w:p w:rsidR="00B37944" w:rsidRPr="00A47E7E" w:rsidRDefault="00665200" w:rsidP="00405F4C">
      <w:pPr>
        <w:jc w:val="center"/>
        <w:rPr>
          <w:rFonts w:ascii="Calibri" w:hAnsi="Calibri" w:cs="Calibri"/>
          <w:b/>
          <w:lang w:val="sr-Latn-CS"/>
        </w:rPr>
      </w:pPr>
      <w:r>
        <w:rPr>
          <w:rFonts w:ascii="Calibri" w:hAnsi="Calibri" w:cs="Calibri"/>
          <w:b/>
          <w:lang w:val="sr-Latn-CS"/>
        </w:rPr>
        <w:t xml:space="preserve">OTVORENI </w:t>
      </w:r>
      <w:r w:rsidR="00405F4C">
        <w:rPr>
          <w:rFonts w:ascii="Calibri" w:hAnsi="Calibri" w:cs="Calibri"/>
          <w:b/>
          <w:lang w:val="sr-Latn-CS"/>
        </w:rPr>
        <w:t>NOVČANI</w:t>
      </w:r>
      <w:r w:rsidR="00F64D1D" w:rsidRPr="00A47E7E">
        <w:rPr>
          <w:rFonts w:ascii="Calibri" w:hAnsi="Calibri" w:cs="Calibri"/>
          <w:b/>
          <w:lang w:val="sr-Latn-CS"/>
        </w:rPr>
        <w:t xml:space="preserve"> INVESTICIONI FOND </w:t>
      </w:r>
      <w:r w:rsidR="00405F4C">
        <w:rPr>
          <w:rFonts w:ascii="Calibri" w:hAnsi="Calibri" w:cs="Calibri"/>
          <w:b/>
          <w:lang w:val="sr-Latn-CS"/>
        </w:rPr>
        <w:t>CASH</w:t>
      </w:r>
      <w:r w:rsidR="00007F24" w:rsidRPr="00A47E7E">
        <w:rPr>
          <w:rFonts w:ascii="Calibri" w:hAnsi="Calibri" w:cs="Calibri"/>
          <w:b/>
          <w:lang w:val="sr-Latn-CS"/>
        </w:rPr>
        <w:t xml:space="preserve"> FUND BANJA LUKA</w:t>
      </w:r>
    </w:p>
    <w:p w:rsidR="00B37944" w:rsidRPr="00A47E7E" w:rsidRDefault="004D1B30" w:rsidP="004D1B30">
      <w:pPr>
        <w:tabs>
          <w:tab w:val="left" w:pos="4973"/>
        </w:tabs>
        <w:rPr>
          <w:rFonts w:ascii="Calibri" w:hAnsi="Calibri" w:cs="Calibri"/>
          <w:lang w:val="sr-Latn-CS"/>
        </w:rPr>
      </w:pPr>
      <w:r w:rsidRPr="00A47E7E">
        <w:rPr>
          <w:rFonts w:ascii="Calibri" w:hAnsi="Calibri" w:cs="Calibri"/>
          <w:lang w:val="sr-Latn-CS"/>
        </w:rPr>
        <w:tab/>
      </w:r>
    </w:p>
    <w:p w:rsidR="00B37944" w:rsidRPr="00A47E7E" w:rsidRDefault="00B37944">
      <w:pPr>
        <w:rPr>
          <w:rFonts w:ascii="Calibri" w:hAnsi="Calibri" w:cs="Calibri"/>
          <w:lang w:val="sr-Latn-CS"/>
        </w:rPr>
      </w:pPr>
    </w:p>
    <w:p w:rsidR="00B37944" w:rsidRPr="00A47E7E" w:rsidRDefault="00B37944">
      <w:pPr>
        <w:rPr>
          <w:rFonts w:ascii="Calibri" w:hAnsi="Calibri" w:cs="Calibri"/>
          <w:lang w:val="sr-Latn-CS"/>
        </w:rPr>
      </w:pPr>
    </w:p>
    <w:p w:rsidR="00B37944" w:rsidRPr="00A47E7E" w:rsidRDefault="00B37944">
      <w:pPr>
        <w:rPr>
          <w:rFonts w:ascii="Calibri" w:hAnsi="Calibri" w:cs="Calibri"/>
          <w:lang w:val="sr-Latn-CS"/>
        </w:rPr>
      </w:pPr>
    </w:p>
    <w:p w:rsidR="00B37944" w:rsidRPr="00A47E7E" w:rsidRDefault="00B37944">
      <w:pPr>
        <w:rPr>
          <w:rFonts w:ascii="Calibri" w:hAnsi="Calibri" w:cs="Calibri"/>
          <w:lang w:val="sr-Latn-CS"/>
        </w:rPr>
      </w:pPr>
    </w:p>
    <w:p w:rsidR="00B37944" w:rsidRPr="00A47E7E" w:rsidRDefault="00B37944">
      <w:pPr>
        <w:rPr>
          <w:rFonts w:ascii="Calibri" w:hAnsi="Calibri" w:cs="Calibri"/>
          <w:lang w:val="sr-Latn-CS"/>
        </w:rPr>
      </w:pPr>
    </w:p>
    <w:p w:rsidR="00B37944" w:rsidRPr="00A47E7E" w:rsidRDefault="00B37944">
      <w:pPr>
        <w:rPr>
          <w:rFonts w:ascii="Calibri" w:hAnsi="Calibri" w:cs="Calibri"/>
          <w:lang w:val="sr-Latn-CS"/>
        </w:rPr>
      </w:pPr>
    </w:p>
    <w:p w:rsidR="00B37944" w:rsidRPr="00A47E7E" w:rsidRDefault="00B37944">
      <w:pPr>
        <w:rPr>
          <w:rFonts w:ascii="Calibri" w:hAnsi="Calibri" w:cs="Calibri"/>
          <w:lang w:val="sr-Latn-CS"/>
        </w:rPr>
      </w:pPr>
    </w:p>
    <w:p w:rsidR="00B37944" w:rsidRPr="00A47E7E" w:rsidRDefault="00B37944">
      <w:pPr>
        <w:rPr>
          <w:rFonts w:ascii="Calibri" w:hAnsi="Calibri" w:cs="Calibri"/>
          <w:lang w:val="sr-Latn-CS"/>
        </w:rPr>
      </w:pPr>
    </w:p>
    <w:p w:rsidR="00B37944" w:rsidRPr="00A47E7E" w:rsidRDefault="00B37944">
      <w:pPr>
        <w:rPr>
          <w:rFonts w:ascii="Calibri" w:hAnsi="Calibri" w:cs="Calibri"/>
          <w:lang w:val="sr-Latn-CS"/>
        </w:rPr>
      </w:pPr>
    </w:p>
    <w:p w:rsidR="00B37944" w:rsidRPr="00A47E7E" w:rsidRDefault="00B37944">
      <w:pPr>
        <w:rPr>
          <w:rFonts w:ascii="Calibri" w:hAnsi="Calibri" w:cs="Calibri"/>
          <w:lang w:val="sr-Latn-CS"/>
        </w:rPr>
      </w:pPr>
    </w:p>
    <w:p w:rsidR="00B37944" w:rsidRPr="00A47E7E" w:rsidRDefault="00B37944">
      <w:pPr>
        <w:rPr>
          <w:rFonts w:ascii="Calibri" w:hAnsi="Calibri" w:cs="Calibri"/>
          <w:lang w:val="sr-Latn-CS"/>
        </w:rPr>
      </w:pPr>
    </w:p>
    <w:p w:rsidR="00B37944" w:rsidRPr="00A47E7E" w:rsidRDefault="00B37944">
      <w:pPr>
        <w:rPr>
          <w:rFonts w:ascii="Calibri" w:hAnsi="Calibri" w:cs="Calibri"/>
          <w:lang w:val="sr-Latn-CS"/>
        </w:rPr>
      </w:pPr>
    </w:p>
    <w:p w:rsidR="00B37944" w:rsidRPr="00A47E7E" w:rsidRDefault="00B37944">
      <w:pPr>
        <w:rPr>
          <w:rFonts w:ascii="Calibri" w:hAnsi="Calibri" w:cs="Calibri"/>
          <w:lang w:val="sr-Latn-CS"/>
        </w:rPr>
      </w:pPr>
    </w:p>
    <w:p w:rsidR="00B37944" w:rsidRPr="00A47E7E" w:rsidRDefault="00B37944">
      <w:pPr>
        <w:rPr>
          <w:rFonts w:ascii="Calibri" w:hAnsi="Calibri" w:cs="Calibri"/>
          <w:lang w:val="sr-Latn-CS"/>
        </w:rPr>
      </w:pPr>
    </w:p>
    <w:p w:rsidR="00B37944" w:rsidRPr="00A47E7E" w:rsidRDefault="00B37944">
      <w:pPr>
        <w:rPr>
          <w:rFonts w:ascii="Calibri" w:hAnsi="Calibri" w:cs="Calibri"/>
          <w:lang w:val="sr-Latn-CS"/>
        </w:rPr>
      </w:pPr>
    </w:p>
    <w:p w:rsidR="00B37944" w:rsidRPr="00A47E7E" w:rsidRDefault="00B37944">
      <w:pPr>
        <w:rPr>
          <w:rFonts w:ascii="Calibri" w:hAnsi="Calibri" w:cs="Calibri"/>
          <w:lang w:val="sr-Latn-CS"/>
        </w:rPr>
      </w:pPr>
    </w:p>
    <w:p w:rsidR="00B37944" w:rsidRPr="00A47E7E" w:rsidRDefault="00B37944">
      <w:pPr>
        <w:rPr>
          <w:rFonts w:ascii="Calibri" w:hAnsi="Calibri" w:cs="Calibri"/>
          <w:b/>
          <w:lang w:val="sr-Latn-CS"/>
        </w:rPr>
      </w:pPr>
    </w:p>
    <w:p w:rsidR="0098067F" w:rsidRPr="00A47E7E" w:rsidRDefault="00DB7F35" w:rsidP="00D92A49">
      <w:pPr>
        <w:jc w:val="center"/>
        <w:rPr>
          <w:rFonts w:ascii="Calibri" w:hAnsi="Calibri" w:cs="Calibri"/>
          <w:b/>
          <w:lang w:val="sr-Latn-CS"/>
        </w:rPr>
      </w:pPr>
      <w:r w:rsidRPr="00A47E7E">
        <w:rPr>
          <w:rFonts w:ascii="Calibri" w:hAnsi="Calibri" w:cs="Calibri"/>
          <w:b/>
          <w:lang w:val="sr-Latn-CS"/>
        </w:rPr>
        <w:t>NAPOMENE</w:t>
      </w:r>
    </w:p>
    <w:p w:rsidR="00B37944" w:rsidRPr="00A47E7E" w:rsidRDefault="00DD3A57" w:rsidP="00D92A49">
      <w:pPr>
        <w:jc w:val="center"/>
        <w:rPr>
          <w:rFonts w:ascii="Calibri" w:hAnsi="Calibri" w:cs="Calibri"/>
          <w:b/>
          <w:lang w:val="sr-Latn-CS"/>
        </w:rPr>
      </w:pPr>
      <w:r w:rsidRPr="00A47E7E">
        <w:rPr>
          <w:rFonts w:ascii="Calibri" w:hAnsi="Calibri" w:cs="Calibri"/>
          <w:b/>
          <w:lang w:val="sr-Latn-CS"/>
        </w:rPr>
        <w:t xml:space="preserve"> uz finansijske izvještaje </w:t>
      </w:r>
      <w:r w:rsidR="00405F4C">
        <w:rPr>
          <w:rFonts w:ascii="Calibri" w:hAnsi="Calibri" w:cs="Calibri"/>
          <w:b/>
          <w:lang w:val="sr-Latn-CS"/>
        </w:rPr>
        <w:t>ON</w:t>
      </w:r>
      <w:r w:rsidR="00007F24" w:rsidRPr="00A47E7E">
        <w:rPr>
          <w:rFonts w:ascii="Calibri" w:hAnsi="Calibri" w:cs="Calibri"/>
          <w:b/>
          <w:lang w:val="sr-Latn-CS"/>
        </w:rPr>
        <w:t>IF</w:t>
      </w:r>
      <w:r w:rsidRPr="00A47E7E">
        <w:rPr>
          <w:rFonts w:ascii="Calibri" w:hAnsi="Calibri" w:cs="Calibri"/>
          <w:b/>
          <w:lang w:val="sr-Latn-CS"/>
        </w:rPr>
        <w:t xml:space="preserve">-a </w:t>
      </w:r>
      <w:r w:rsidR="00405F4C">
        <w:rPr>
          <w:rFonts w:ascii="Calibri" w:hAnsi="Calibri" w:cs="Calibri"/>
          <w:b/>
          <w:lang w:val="sr-Latn-CS"/>
        </w:rPr>
        <w:t>Cash</w:t>
      </w:r>
      <w:r w:rsidR="00007F24" w:rsidRPr="00A47E7E">
        <w:rPr>
          <w:rFonts w:ascii="Calibri" w:hAnsi="Calibri" w:cs="Calibri"/>
          <w:b/>
          <w:lang w:val="sr-Latn-CS"/>
        </w:rPr>
        <w:t xml:space="preserve"> fund</w:t>
      </w:r>
      <w:r w:rsidR="004E3F72" w:rsidRPr="00A47E7E">
        <w:rPr>
          <w:rFonts w:ascii="Calibri" w:hAnsi="Calibri" w:cs="Calibri"/>
          <w:b/>
          <w:lang w:val="sr-Latn-CS"/>
        </w:rPr>
        <w:t xml:space="preserve"> Banja Luka za period od </w:t>
      </w:r>
      <w:r w:rsidR="00AD5E69">
        <w:rPr>
          <w:rFonts w:ascii="Calibri" w:hAnsi="Calibri" w:cs="Calibri"/>
          <w:b/>
          <w:lang w:val="sr-Latn-CS"/>
        </w:rPr>
        <w:t>01.01</w:t>
      </w:r>
      <w:r w:rsidR="00CC444B" w:rsidRPr="00A47E7E">
        <w:rPr>
          <w:rFonts w:ascii="Calibri" w:hAnsi="Calibri" w:cs="Calibri"/>
          <w:b/>
          <w:lang w:val="sr-Latn-CS"/>
        </w:rPr>
        <w:t>.-</w:t>
      </w:r>
      <w:r w:rsidR="001D0767">
        <w:rPr>
          <w:rFonts w:ascii="Calibri" w:hAnsi="Calibri" w:cs="Calibri"/>
          <w:b/>
          <w:lang w:val="sr-Latn-CS"/>
        </w:rPr>
        <w:t>31</w:t>
      </w:r>
      <w:r w:rsidRPr="00A47E7E">
        <w:rPr>
          <w:rFonts w:ascii="Calibri" w:hAnsi="Calibri" w:cs="Calibri"/>
          <w:b/>
          <w:lang w:val="sr-Latn-CS"/>
        </w:rPr>
        <w:t>.</w:t>
      </w:r>
      <w:r w:rsidR="004B7276">
        <w:rPr>
          <w:rFonts w:ascii="Calibri" w:hAnsi="Calibri" w:cs="Calibri"/>
          <w:b/>
          <w:lang w:val="sr-Latn-CS"/>
        </w:rPr>
        <w:t>03.2021</w:t>
      </w:r>
      <w:r w:rsidRPr="00A47E7E">
        <w:rPr>
          <w:rFonts w:ascii="Calibri" w:hAnsi="Calibri" w:cs="Calibri"/>
          <w:b/>
          <w:lang w:val="sr-Latn-CS"/>
        </w:rPr>
        <w:t>. godine</w:t>
      </w:r>
    </w:p>
    <w:p w:rsidR="00B37944" w:rsidRPr="00A47E7E" w:rsidRDefault="00B37944" w:rsidP="00B37944">
      <w:pPr>
        <w:jc w:val="center"/>
        <w:rPr>
          <w:rFonts w:ascii="Calibri" w:hAnsi="Calibri" w:cs="Calibri"/>
          <w:lang w:val="sr-Latn-CS"/>
        </w:rPr>
      </w:pPr>
    </w:p>
    <w:p w:rsidR="00B37944" w:rsidRPr="00A47E7E" w:rsidRDefault="00B37944" w:rsidP="00B37944">
      <w:pPr>
        <w:jc w:val="center"/>
        <w:rPr>
          <w:rFonts w:ascii="Calibri" w:hAnsi="Calibri" w:cs="Calibri"/>
          <w:lang w:val="sr-Latn-CS"/>
        </w:rPr>
      </w:pPr>
    </w:p>
    <w:p w:rsidR="00B37944" w:rsidRPr="00A47E7E" w:rsidRDefault="00B37944" w:rsidP="00B37944">
      <w:pPr>
        <w:jc w:val="center"/>
        <w:rPr>
          <w:rFonts w:ascii="Calibri" w:hAnsi="Calibri" w:cs="Calibri"/>
          <w:lang w:val="sr-Latn-CS"/>
        </w:rPr>
      </w:pPr>
    </w:p>
    <w:p w:rsidR="00B37944" w:rsidRPr="00A47E7E" w:rsidRDefault="00B37944" w:rsidP="00B37944">
      <w:pPr>
        <w:jc w:val="center"/>
        <w:rPr>
          <w:rFonts w:ascii="Calibri" w:hAnsi="Calibri" w:cs="Calibri"/>
          <w:lang w:val="sr-Latn-CS"/>
        </w:rPr>
      </w:pPr>
    </w:p>
    <w:p w:rsidR="00B37944" w:rsidRPr="00A47E7E" w:rsidRDefault="00B37944" w:rsidP="00B37944">
      <w:pPr>
        <w:jc w:val="center"/>
        <w:rPr>
          <w:rFonts w:ascii="Calibri" w:hAnsi="Calibri" w:cs="Calibri"/>
          <w:lang w:val="sr-Latn-CS"/>
        </w:rPr>
      </w:pPr>
    </w:p>
    <w:p w:rsidR="00B37944" w:rsidRPr="00A47E7E" w:rsidRDefault="00B37944" w:rsidP="00B37944">
      <w:pPr>
        <w:jc w:val="center"/>
        <w:rPr>
          <w:rFonts w:ascii="Calibri" w:hAnsi="Calibri" w:cs="Calibri"/>
          <w:lang w:val="sr-Latn-CS"/>
        </w:rPr>
      </w:pPr>
    </w:p>
    <w:p w:rsidR="00B37944" w:rsidRPr="00A47E7E" w:rsidRDefault="00B37944" w:rsidP="00B37944">
      <w:pPr>
        <w:jc w:val="both"/>
        <w:rPr>
          <w:rFonts w:ascii="Calibri" w:hAnsi="Calibri" w:cs="Calibri"/>
          <w:lang w:val="sr-Cyrl-CS"/>
        </w:rPr>
      </w:pPr>
    </w:p>
    <w:p w:rsidR="00B37944" w:rsidRPr="00A47E7E" w:rsidRDefault="00B37944" w:rsidP="00B37944">
      <w:pPr>
        <w:jc w:val="both"/>
        <w:rPr>
          <w:rFonts w:ascii="Calibri" w:hAnsi="Calibri" w:cs="Calibri"/>
          <w:lang w:val="sr-Latn-CS"/>
        </w:rPr>
      </w:pPr>
    </w:p>
    <w:p w:rsidR="00B37944" w:rsidRPr="00A47E7E" w:rsidRDefault="00B37944" w:rsidP="00B37944">
      <w:pPr>
        <w:jc w:val="both"/>
        <w:rPr>
          <w:rFonts w:ascii="Calibri" w:hAnsi="Calibri" w:cs="Calibri"/>
          <w:lang w:val="sr-Latn-CS"/>
        </w:rPr>
      </w:pPr>
    </w:p>
    <w:p w:rsidR="00B37944" w:rsidRPr="00A47E7E" w:rsidRDefault="00B37944" w:rsidP="00B37944">
      <w:pPr>
        <w:jc w:val="both"/>
        <w:rPr>
          <w:rFonts w:ascii="Calibri" w:hAnsi="Calibri" w:cs="Calibri"/>
          <w:lang w:val="sr-Latn-CS"/>
        </w:rPr>
      </w:pPr>
    </w:p>
    <w:p w:rsidR="00B37944" w:rsidRPr="00A47E7E" w:rsidRDefault="00B37944" w:rsidP="00B37944">
      <w:pPr>
        <w:jc w:val="both"/>
        <w:rPr>
          <w:rFonts w:ascii="Calibri" w:hAnsi="Calibri" w:cs="Calibri"/>
          <w:lang w:val="sr-Latn-CS"/>
        </w:rPr>
      </w:pPr>
    </w:p>
    <w:p w:rsidR="00B37944" w:rsidRPr="00A47E7E" w:rsidRDefault="00B37944" w:rsidP="00B37944">
      <w:pPr>
        <w:jc w:val="both"/>
        <w:rPr>
          <w:rFonts w:ascii="Calibri" w:hAnsi="Calibri" w:cs="Calibri"/>
          <w:lang w:val="sr-Latn-CS"/>
        </w:rPr>
      </w:pPr>
    </w:p>
    <w:p w:rsidR="00B37944" w:rsidRPr="00A47E7E" w:rsidRDefault="00B37944" w:rsidP="00B37944">
      <w:pPr>
        <w:jc w:val="both"/>
        <w:rPr>
          <w:rFonts w:ascii="Calibri" w:hAnsi="Calibri" w:cs="Calibri"/>
          <w:lang w:val="sr-Latn-CS"/>
        </w:rPr>
      </w:pPr>
    </w:p>
    <w:p w:rsidR="00B37944" w:rsidRPr="00A47E7E" w:rsidRDefault="00B37944" w:rsidP="00B37944">
      <w:pPr>
        <w:jc w:val="both"/>
        <w:rPr>
          <w:rFonts w:ascii="Calibri" w:hAnsi="Calibri" w:cs="Calibri"/>
          <w:lang w:val="sr-Cyrl-BA"/>
        </w:rPr>
      </w:pPr>
    </w:p>
    <w:p w:rsidR="00B37944" w:rsidRPr="00A47E7E" w:rsidRDefault="00B37944" w:rsidP="00B37944">
      <w:pPr>
        <w:jc w:val="both"/>
        <w:rPr>
          <w:rFonts w:ascii="Calibri" w:hAnsi="Calibri" w:cs="Calibri"/>
          <w:lang w:val="sr-Latn-CS"/>
        </w:rPr>
      </w:pPr>
    </w:p>
    <w:p w:rsidR="00B37944" w:rsidRPr="00A47E7E" w:rsidRDefault="00B37944" w:rsidP="00B37944">
      <w:pPr>
        <w:jc w:val="both"/>
        <w:rPr>
          <w:rFonts w:ascii="Calibri" w:hAnsi="Calibri" w:cs="Calibri"/>
          <w:lang w:val="sr-Latn-CS"/>
        </w:rPr>
      </w:pPr>
    </w:p>
    <w:p w:rsidR="00B37944" w:rsidRPr="00A47E7E" w:rsidRDefault="00B37944" w:rsidP="00B37944">
      <w:pPr>
        <w:jc w:val="both"/>
        <w:rPr>
          <w:rFonts w:ascii="Calibri" w:hAnsi="Calibri" w:cs="Calibri"/>
          <w:lang w:val="sr-Latn-CS"/>
        </w:rPr>
      </w:pPr>
    </w:p>
    <w:p w:rsidR="00B37944" w:rsidRPr="00A47E7E" w:rsidRDefault="00B37944" w:rsidP="00B37944">
      <w:pPr>
        <w:jc w:val="both"/>
        <w:rPr>
          <w:rFonts w:ascii="Calibri" w:hAnsi="Calibri" w:cs="Calibri"/>
          <w:b/>
          <w:lang w:val="sr-Latn-CS"/>
        </w:rPr>
      </w:pPr>
    </w:p>
    <w:p w:rsidR="00B37944" w:rsidRPr="00A47E7E" w:rsidRDefault="00B37944" w:rsidP="00B37944">
      <w:pPr>
        <w:jc w:val="center"/>
        <w:rPr>
          <w:rFonts w:ascii="Calibri" w:hAnsi="Calibri" w:cs="Calibri"/>
          <w:lang w:val="sr-Latn-CS"/>
        </w:rPr>
      </w:pPr>
    </w:p>
    <w:p w:rsidR="00B64A52" w:rsidRPr="00A47E7E" w:rsidRDefault="00506F62" w:rsidP="0009145D">
      <w:pPr>
        <w:rPr>
          <w:rFonts w:ascii="Calibri" w:hAnsi="Calibri" w:cs="Calibri"/>
          <w:lang w:val="sr-Latn-CS"/>
        </w:rPr>
      </w:pPr>
      <w:r w:rsidRPr="00A47E7E">
        <w:rPr>
          <w:rFonts w:ascii="Calibri" w:hAnsi="Calibri" w:cs="Calibri"/>
          <w:lang w:val="sr-Latn-CS"/>
        </w:rPr>
        <w:t xml:space="preserve">Banja Luka, </w:t>
      </w:r>
      <w:r w:rsidR="004B7276">
        <w:rPr>
          <w:rFonts w:ascii="Calibri" w:hAnsi="Calibri" w:cs="Calibri"/>
          <w:lang w:val="sr-Latn-CS"/>
        </w:rPr>
        <w:t>mart</w:t>
      </w:r>
      <w:r w:rsidR="001D0767">
        <w:rPr>
          <w:rFonts w:ascii="Calibri" w:hAnsi="Calibri" w:cs="Calibri"/>
          <w:lang w:val="sr-Latn-CS"/>
        </w:rPr>
        <w:t xml:space="preserve"> </w:t>
      </w:r>
      <w:r w:rsidR="00E52588">
        <w:rPr>
          <w:rFonts w:ascii="Calibri" w:hAnsi="Calibri" w:cs="Calibri"/>
          <w:lang w:val="sr-Latn-CS"/>
        </w:rPr>
        <w:t xml:space="preserve"> 2021</w:t>
      </w:r>
      <w:r w:rsidR="00B75BE9" w:rsidRPr="00A47E7E">
        <w:rPr>
          <w:rFonts w:ascii="Calibri" w:hAnsi="Calibri" w:cs="Calibri"/>
          <w:lang w:val="sr-Latn-CS"/>
        </w:rPr>
        <w:t xml:space="preserve">. </w:t>
      </w:r>
      <w:r w:rsidR="0009145D" w:rsidRPr="00A47E7E">
        <w:rPr>
          <w:rFonts w:ascii="Calibri" w:hAnsi="Calibri" w:cs="Calibri"/>
          <w:lang w:val="sr-Latn-CS"/>
        </w:rPr>
        <w:t>g</w:t>
      </w:r>
      <w:r w:rsidR="00B75BE9" w:rsidRPr="00A47E7E">
        <w:rPr>
          <w:rFonts w:ascii="Calibri" w:hAnsi="Calibri" w:cs="Calibri"/>
          <w:lang w:val="sr-Latn-CS"/>
        </w:rPr>
        <w:t>odine</w:t>
      </w:r>
    </w:p>
    <w:p w:rsidR="0009145D" w:rsidRPr="00A47E7E" w:rsidRDefault="0009145D" w:rsidP="0009145D">
      <w:pPr>
        <w:rPr>
          <w:rFonts w:ascii="Calibri" w:hAnsi="Calibri" w:cs="Calibri"/>
          <w:lang w:val="sr-Latn-CS"/>
        </w:rPr>
      </w:pPr>
    </w:p>
    <w:p w:rsidR="00BA5E11" w:rsidRDefault="000C1413">
      <w:pPr>
        <w:pStyle w:val="TOC1"/>
        <w:rPr>
          <w:rFonts w:asciiTheme="minorHAnsi" w:eastAsiaTheme="minorEastAsia" w:hAnsiTheme="minorHAnsi" w:cstheme="minorBidi"/>
          <w:noProof/>
          <w:sz w:val="22"/>
          <w:szCs w:val="22"/>
        </w:rPr>
      </w:pPr>
      <w:r w:rsidRPr="00A47E7E">
        <w:lastRenderedPageBreak/>
        <w:fldChar w:fldCharType="begin"/>
      </w:r>
      <w:r w:rsidR="00B64A52" w:rsidRPr="00A47E7E">
        <w:instrText xml:space="preserve"> TOC \o "1-3" \h \z \u </w:instrText>
      </w:r>
      <w:r w:rsidRPr="00A47E7E">
        <w:fldChar w:fldCharType="separate"/>
      </w:r>
      <w:hyperlink w:anchor="_Toc64534427" w:history="1">
        <w:r w:rsidR="00BA5E11" w:rsidRPr="00464DAB">
          <w:rPr>
            <w:rStyle w:val="Hyperlink"/>
            <w:rFonts w:cs="Calibri"/>
            <w:noProof/>
            <w:lang w:val="sr-Cyrl-CS"/>
          </w:rPr>
          <w:t>I.</w:t>
        </w:r>
        <w:r w:rsidR="00BA5E11">
          <w:rPr>
            <w:rFonts w:asciiTheme="minorHAnsi" w:eastAsiaTheme="minorEastAsia" w:hAnsiTheme="minorHAnsi" w:cstheme="minorBidi"/>
            <w:noProof/>
            <w:sz w:val="22"/>
            <w:szCs w:val="22"/>
          </w:rPr>
          <w:tab/>
        </w:r>
        <w:r w:rsidR="00BA5E11" w:rsidRPr="00464DAB">
          <w:rPr>
            <w:rStyle w:val="Hyperlink"/>
            <w:rFonts w:ascii="Calibri" w:hAnsi="Calibri" w:cs="Calibri"/>
            <w:noProof/>
          </w:rPr>
          <w:t>OSNIVANJE</w:t>
        </w:r>
        <w:r w:rsidR="00BA5E11" w:rsidRPr="00464DAB">
          <w:rPr>
            <w:rStyle w:val="Hyperlink"/>
            <w:rFonts w:ascii="Calibri" w:hAnsi="Calibri" w:cs="Calibri"/>
            <w:noProof/>
            <w:lang w:val="sr-Latn-CS"/>
          </w:rPr>
          <w:t xml:space="preserve"> I DJELATNOST</w:t>
        </w:r>
        <w:r w:rsidR="00BA5E11">
          <w:rPr>
            <w:noProof/>
            <w:webHidden/>
          </w:rPr>
          <w:tab/>
        </w:r>
        <w:r w:rsidR="00BA5E11">
          <w:rPr>
            <w:noProof/>
            <w:webHidden/>
          </w:rPr>
          <w:fldChar w:fldCharType="begin"/>
        </w:r>
        <w:r w:rsidR="00BA5E11">
          <w:rPr>
            <w:noProof/>
            <w:webHidden/>
          </w:rPr>
          <w:instrText xml:space="preserve"> PAGEREF _Toc64534427 \h </w:instrText>
        </w:r>
        <w:r w:rsidR="00BA5E11">
          <w:rPr>
            <w:noProof/>
            <w:webHidden/>
          </w:rPr>
        </w:r>
        <w:r w:rsidR="00BA5E11">
          <w:rPr>
            <w:noProof/>
            <w:webHidden/>
          </w:rPr>
          <w:fldChar w:fldCharType="separate"/>
        </w:r>
        <w:r w:rsidR="00BA5E11">
          <w:rPr>
            <w:noProof/>
            <w:webHidden/>
          </w:rPr>
          <w:t>3</w:t>
        </w:r>
        <w:r w:rsidR="00BA5E11">
          <w:rPr>
            <w:noProof/>
            <w:webHidden/>
          </w:rPr>
          <w:fldChar w:fldCharType="end"/>
        </w:r>
      </w:hyperlink>
    </w:p>
    <w:p w:rsidR="00BA5E11" w:rsidRDefault="00C87577" w:rsidP="00BA5E11">
      <w:pPr>
        <w:pStyle w:val="TOC1"/>
        <w:rPr>
          <w:rFonts w:asciiTheme="minorHAnsi" w:eastAsiaTheme="minorEastAsia" w:hAnsiTheme="minorHAnsi" w:cstheme="minorBidi"/>
          <w:noProof/>
          <w:sz w:val="22"/>
          <w:szCs w:val="22"/>
        </w:rPr>
      </w:pPr>
      <w:hyperlink w:anchor="_Toc64534428" w:history="1">
        <w:r w:rsidR="00BA5E11" w:rsidRPr="00464DAB">
          <w:rPr>
            <w:rStyle w:val="Hyperlink"/>
            <w:rFonts w:cs="Calibri"/>
            <w:noProof/>
            <w:lang w:val="sr-Latn-CS"/>
          </w:rPr>
          <w:t>II.</w:t>
        </w:r>
        <w:r w:rsidR="00BA5E11">
          <w:rPr>
            <w:rFonts w:asciiTheme="minorHAnsi" w:eastAsiaTheme="minorEastAsia" w:hAnsiTheme="minorHAnsi" w:cstheme="minorBidi"/>
            <w:noProof/>
            <w:sz w:val="22"/>
            <w:szCs w:val="22"/>
          </w:rPr>
          <w:tab/>
        </w:r>
        <w:r w:rsidR="00BA5E11" w:rsidRPr="00464DAB">
          <w:rPr>
            <w:rStyle w:val="Hyperlink"/>
            <w:rFonts w:ascii="Calibri" w:hAnsi="Calibri" w:cs="Calibri"/>
            <w:noProof/>
            <w:lang w:val="sr-Latn-CS"/>
          </w:rPr>
          <w:t>OSNOVE ZA SASTAVLJANJE I PREZENTACIJU FINANSIJSKIH IZVJEŠTAJA I RAČUNOVODSTVENI METOD</w:t>
        </w:r>
        <w:r w:rsidR="00BA5E11">
          <w:rPr>
            <w:noProof/>
            <w:webHidden/>
          </w:rPr>
          <w:tab/>
        </w:r>
        <w:r w:rsidR="00BA5E11">
          <w:rPr>
            <w:noProof/>
            <w:webHidden/>
          </w:rPr>
          <w:fldChar w:fldCharType="begin"/>
        </w:r>
        <w:r w:rsidR="00BA5E11">
          <w:rPr>
            <w:noProof/>
            <w:webHidden/>
          </w:rPr>
          <w:instrText xml:space="preserve"> PAGEREF _Toc64534428 \h </w:instrText>
        </w:r>
        <w:r w:rsidR="00BA5E11">
          <w:rPr>
            <w:noProof/>
            <w:webHidden/>
          </w:rPr>
        </w:r>
        <w:r w:rsidR="00BA5E11">
          <w:rPr>
            <w:noProof/>
            <w:webHidden/>
          </w:rPr>
          <w:fldChar w:fldCharType="separate"/>
        </w:r>
        <w:r w:rsidR="00BA5E11">
          <w:rPr>
            <w:noProof/>
            <w:webHidden/>
          </w:rPr>
          <w:t>3</w:t>
        </w:r>
        <w:r w:rsidR="00BA5E11">
          <w:rPr>
            <w:noProof/>
            <w:webHidden/>
          </w:rPr>
          <w:fldChar w:fldCharType="end"/>
        </w:r>
      </w:hyperlink>
    </w:p>
    <w:p w:rsidR="00BA5E11" w:rsidRDefault="00C87577">
      <w:pPr>
        <w:pStyle w:val="TOC1"/>
        <w:rPr>
          <w:rFonts w:asciiTheme="minorHAnsi" w:eastAsiaTheme="minorEastAsia" w:hAnsiTheme="minorHAnsi" w:cstheme="minorBidi"/>
          <w:noProof/>
          <w:sz w:val="22"/>
          <w:szCs w:val="22"/>
        </w:rPr>
      </w:pPr>
      <w:hyperlink w:anchor="_Toc64534431" w:history="1">
        <w:r w:rsidR="00BA5E11">
          <w:rPr>
            <w:noProof/>
            <w:webHidden/>
          </w:rPr>
          <w:tab/>
        </w:r>
        <w:r w:rsidR="00BA5E11">
          <w:rPr>
            <w:noProof/>
            <w:webHidden/>
          </w:rPr>
          <w:fldChar w:fldCharType="begin"/>
        </w:r>
        <w:r w:rsidR="00BA5E11">
          <w:rPr>
            <w:noProof/>
            <w:webHidden/>
          </w:rPr>
          <w:instrText xml:space="preserve"> PAGEREF _Toc64534431 \h </w:instrText>
        </w:r>
        <w:r w:rsidR="00BA5E11">
          <w:rPr>
            <w:noProof/>
            <w:webHidden/>
          </w:rPr>
        </w:r>
        <w:r w:rsidR="00BA5E11">
          <w:rPr>
            <w:noProof/>
            <w:webHidden/>
          </w:rPr>
          <w:fldChar w:fldCharType="separate"/>
        </w:r>
        <w:r w:rsidR="00BA5E11">
          <w:rPr>
            <w:noProof/>
            <w:webHidden/>
          </w:rPr>
          <w:t>8</w:t>
        </w:r>
        <w:r w:rsidR="00BA5E11">
          <w:rPr>
            <w:noProof/>
            <w:webHidden/>
          </w:rPr>
          <w:fldChar w:fldCharType="end"/>
        </w:r>
      </w:hyperlink>
    </w:p>
    <w:p w:rsidR="00BA5E11" w:rsidRDefault="00C87577">
      <w:pPr>
        <w:pStyle w:val="TOC1"/>
        <w:rPr>
          <w:rFonts w:asciiTheme="minorHAnsi" w:eastAsiaTheme="minorEastAsia" w:hAnsiTheme="minorHAnsi" w:cstheme="minorBidi"/>
          <w:noProof/>
          <w:sz w:val="22"/>
          <w:szCs w:val="22"/>
        </w:rPr>
      </w:pPr>
      <w:hyperlink w:anchor="_Toc64534432" w:history="1">
        <w:r w:rsidR="00BA5E11" w:rsidRPr="00464DAB">
          <w:rPr>
            <w:rStyle w:val="Hyperlink"/>
            <w:rFonts w:cs="Calibri"/>
            <w:noProof/>
          </w:rPr>
          <w:t>III.</w:t>
        </w:r>
        <w:r w:rsidR="00BA5E11">
          <w:rPr>
            <w:rFonts w:asciiTheme="minorHAnsi" w:eastAsiaTheme="minorEastAsia" w:hAnsiTheme="minorHAnsi" w:cstheme="minorBidi"/>
            <w:noProof/>
            <w:sz w:val="22"/>
            <w:szCs w:val="22"/>
          </w:rPr>
          <w:tab/>
        </w:r>
        <w:r w:rsidR="00BA5E11" w:rsidRPr="00464DAB">
          <w:rPr>
            <w:rStyle w:val="Hyperlink"/>
            <w:rFonts w:ascii="Calibri" w:hAnsi="Calibri" w:cs="Calibri"/>
            <w:noProof/>
          </w:rPr>
          <w:t>PREGLED ZNAČAJNIH RAČUNOVODSTVENIH POLITIKA</w:t>
        </w:r>
        <w:r w:rsidR="00BA5E11">
          <w:rPr>
            <w:noProof/>
            <w:webHidden/>
          </w:rPr>
          <w:tab/>
        </w:r>
        <w:r w:rsidR="00BA5E11">
          <w:rPr>
            <w:noProof/>
            <w:webHidden/>
          </w:rPr>
          <w:fldChar w:fldCharType="begin"/>
        </w:r>
        <w:r w:rsidR="00BA5E11">
          <w:rPr>
            <w:noProof/>
            <w:webHidden/>
          </w:rPr>
          <w:instrText xml:space="preserve"> PAGEREF _Toc64534432 \h </w:instrText>
        </w:r>
        <w:r w:rsidR="00BA5E11">
          <w:rPr>
            <w:noProof/>
            <w:webHidden/>
          </w:rPr>
        </w:r>
        <w:r w:rsidR="00BA5E11">
          <w:rPr>
            <w:noProof/>
            <w:webHidden/>
          </w:rPr>
          <w:fldChar w:fldCharType="separate"/>
        </w:r>
        <w:r w:rsidR="00BA5E11">
          <w:rPr>
            <w:noProof/>
            <w:webHidden/>
          </w:rPr>
          <w:t>10</w:t>
        </w:r>
        <w:r w:rsidR="00BA5E11">
          <w:rPr>
            <w:noProof/>
            <w:webHidden/>
          </w:rPr>
          <w:fldChar w:fldCharType="end"/>
        </w:r>
      </w:hyperlink>
    </w:p>
    <w:p w:rsidR="00BA5E11" w:rsidRDefault="00C87577">
      <w:pPr>
        <w:pStyle w:val="TOC2"/>
        <w:rPr>
          <w:rFonts w:asciiTheme="minorHAnsi" w:eastAsiaTheme="minorEastAsia" w:hAnsiTheme="minorHAnsi" w:cstheme="minorBidi"/>
          <w:noProof/>
          <w:sz w:val="22"/>
          <w:szCs w:val="22"/>
        </w:rPr>
      </w:pPr>
      <w:hyperlink w:anchor="_Toc64534433" w:history="1">
        <w:r w:rsidR="00BA5E11" w:rsidRPr="00464DAB">
          <w:rPr>
            <w:rStyle w:val="Hyperlink"/>
            <w:rFonts w:ascii="Calibri" w:hAnsi="Calibri" w:cs="Calibri"/>
            <w:noProof/>
          </w:rPr>
          <w:t>1.</w:t>
        </w:r>
        <w:r w:rsidR="00BA5E11">
          <w:rPr>
            <w:rFonts w:asciiTheme="minorHAnsi" w:eastAsiaTheme="minorEastAsia" w:hAnsiTheme="minorHAnsi" w:cstheme="minorBidi"/>
            <w:noProof/>
            <w:sz w:val="22"/>
            <w:szCs w:val="22"/>
          </w:rPr>
          <w:tab/>
        </w:r>
        <w:r w:rsidR="00BA5E11" w:rsidRPr="00464DAB">
          <w:rPr>
            <w:rStyle w:val="Hyperlink"/>
            <w:rFonts w:ascii="Calibri" w:hAnsi="Calibri" w:cs="Calibri"/>
            <w:noProof/>
          </w:rPr>
          <w:t>Poslovni prihodi</w:t>
        </w:r>
        <w:r w:rsidR="00BA5E11">
          <w:rPr>
            <w:noProof/>
            <w:webHidden/>
          </w:rPr>
          <w:tab/>
        </w:r>
        <w:r w:rsidR="00BA5E11">
          <w:rPr>
            <w:noProof/>
            <w:webHidden/>
          </w:rPr>
          <w:fldChar w:fldCharType="begin"/>
        </w:r>
        <w:r w:rsidR="00BA5E11">
          <w:rPr>
            <w:noProof/>
            <w:webHidden/>
          </w:rPr>
          <w:instrText xml:space="preserve"> PAGEREF _Toc64534433 \h </w:instrText>
        </w:r>
        <w:r w:rsidR="00BA5E11">
          <w:rPr>
            <w:noProof/>
            <w:webHidden/>
          </w:rPr>
        </w:r>
        <w:r w:rsidR="00BA5E11">
          <w:rPr>
            <w:noProof/>
            <w:webHidden/>
          </w:rPr>
          <w:fldChar w:fldCharType="separate"/>
        </w:r>
        <w:r w:rsidR="00BA5E11">
          <w:rPr>
            <w:noProof/>
            <w:webHidden/>
          </w:rPr>
          <w:t>10</w:t>
        </w:r>
        <w:r w:rsidR="00BA5E11">
          <w:rPr>
            <w:noProof/>
            <w:webHidden/>
          </w:rPr>
          <w:fldChar w:fldCharType="end"/>
        </w:r>
      </w:hyperlink>
    </w:p>
    <w:p w:rsidR="00BA5E11" w:rsidRDefault="00C87577">
      <w:pPr>
        <w:pStyle w:val="TOC2"/>
        <w:rPr>
          <w:rFonts w:asciiTheme="minorHAnsi" w:eastAsiaTheme="minorEastAsia" w:hAnsiTheme="minorHAnsi" w:cstheme="minorBidi"/>
          <w:noProof/>
          <w:sz w:val="22"/>
          <w:szCs w:val="22"/>
        </w:rPr>
      </w:pPr>
      <w:hyperlink w:anchor="_Toc64534434" w:history="1">
        <w:r w:rsidR="00BA5E11" w:rsidRPr="00464DAB">
          <w:rPr>
            <w:rStyle w:val="Hyperlink"/>
            <w:rFonts w:ascii="Calibri" w:hAnsi="Calibri" w:cs="Calibri"/>
            <w:noProof/>
          </w:rPr>
          <w:t>2.</w:t>
        </w:r>
        <w:r w:rsidR="00BA5E11">
          <w:rPr>
            <w:rFonts w:asciiTheme="minorHAnsi" w:eastAsiaTheme="minorEastAsia" w:hAnsiTheme="minorHAnsi" w:cstheme="minorBidi"/>
            <w:noProof/>
            <w:sz w:val="22"/>
            <w:szCs w:val="22"/>
          </w:rPr>
          <w:tab/>
        </w:r>
        <w:r w:rsidR="00BA5E11" w:rsidRPr="00464DAB">
          <w:rPr>
            <w:rStyle w:val="Hyperlink"/>
            <w:rFonts w:ascii="Calibri" w:hAnsi="Calibri" w:cs="Calibri"/>
            <w:noProof/>
          </w:rPr>
          <w:t>Poslovni rashodi</w:t>
        </w:r>
        <w:r w:rsidR="00BA5E11">
          <w:rPr>
            <w:noProof/>
            <w:webHidden/>
          </w:rPr>
          <w:tab/>
        </w:r>
        <w:r w:rsidR="00BA5E11">
          <w:rPr>
            <w:noProof/>
            <w:webHidden/>
          </w:rPr>
          <w:fldChar w:fldCharType="begin"/>
        </w:r>
        <w:r w:rsidR="00BA5E11">
          <w:rPr>
            <w:noProof/>
            <w:webHidden/>
          </w:rPr>
          <w:instrText xml:space="preserve"> PAGEREF _Toc64534434 \h </w:instrText>
        </w:r>
        <w:r w:rsidR="00BA5E11">
          <w:rPr>
            <w:noProof/>
            <w:webHidden/>
          </w:rPr>
        </w:r>
        <w:r w:rsidR="00BA5E11">
          <w:rPr>
            <w:noProof/>
            <w:webHidden/>
          </w:rPr>
          <w:fldChar w:fldCharType="separate"/>
        </w:r>
        <w:r w:rsidR="00BA5E11">
          <w:rPr>
            <w:noProof/>
            <w:webHidden/>
          </w:rPr>
          <w:t>11</w:t>
        </w:r>
        <w:r w:rsidR="00BA5E11">
          <w:rPr>
            <w:noProof/>
            <w:webHidden/>
          </w:rPr>
          <w:fldChar w:fldCharType="end"/>
        </w:r>
      </w:hyperlink>
    </w:p>
    <w:p w:rsidR="00BA5E11" w:rsidRDefault="00C87577">
      <w:pPr>
        <w:pStyle w:val="TOC2"/>
        <w:rPr>
          <w:rFonts w:asciiTheme="minorHAnsi" w:eastAsiaTheme="minorEastAsia" w:hAnsiTheme="minorHAnsi" w:cstheme="minorBidi"/>
          <w:noProof/>
          <w:sz w:val="22"/>
          <w:szCs w:val="22"/>
        </w:rPr>
      </w:pPr>
      <w:hyperlink w:anchor="_Toc64534435" w:history="1">
        <w:r w:rsidR="00BA5E11" w:rsidRPr="00464DAB">
          <w:rPr>
            <w:rStyle w:val="Hyperlink"/>
            <w:rFonts w:ascii="Calibri" w:hAnsi="Calibri" w:cs="Calibri"/>
            <w:noProof/>
          </w:rPr>
          <w:t>3.</w:t>
        </w:r>
        <w:r w:rsidR="00BA5E11">
          <w:rPr>
            <w:rFonts w:asciiTheme="minorHAnsi" w:eastAsiaTheme="minorEastAsia" w:hAnsiTheme="minorHAnsi" w:cstheme="minorBidi"/>
            <w:noProof/>
            <w:sz w:val="22"/>
            <w:szCs w:val="22"/>
          </w:rPr>
          <w:tab/>
        </w:r>
        <w:r w:rsidR="00BA5E11" w:rsidRPr="00464DAB">
          <w:rPr>
            <w:rStyle w:val="Hyperlink"/>
            <w:rFonts w:ascii="Calibri" w:hAnsi="Calibri" w:cs="Calibri"/>
            <w:noProof/>
          </w:rPr>
          <w:t>Ostali prihodi i rashodi</w:t>
        </w:r>
        <w:r w:rsidR="00BA5E11">
          <w:rPr>
            <w:noProof/>
            <w:webHidden/>
          </w:rPr>
          <w:tab/>
        </w:r>
        <w:r w:rsidR="00BA5E11">
          <w:rPr>
            <w:noProof/>
            <w:webHidden/>
          </w:rPr>
          <w:fldChar w:fldCharType="begin"/>
        </w:r>
        <w:r w:rsidR="00BA5E11">
          <w:rPr>
            <w:noProof/>
            <w:webHidden/>
          </w:rPr>
          <w:instrText xml:space="preserve"> PAGEREF _Toc64534435 \h </w:instrText>
        </w:r>
        <w:r w:rsidR="00BA5E11">
          <w:rPr>
            <w:noProof/>
            <w:webHidden/>
          </w:rPr>
        </w:r>
        <w:r w:rsidR="00BA5E11">
          <w:rPr>
            <w:noProof/>
            <w:webHidden/>
          </w:rPr>
          <w:fldChar w:fldCharType="separate"/>
        </w:r>
        <w:r w:rsidR="00BA5E11">
          <w:rPr>
            <w:noProof/>
            <w:webHidden/>
          </w:rPr>
          <w:t>11</w:t>
        </w:r>
        <w:r w:rsidR="00BA5E11">
          <w:rPr>
            <w:noProof/>
            <w:webHidden/>
          </w:rPr>
          <w:fldChar w:fldCharType="end"/>
        </w:r>
      </w:hyperlink>
    </w:p>
    <w:p w:rsidR="00BA5E11" w:rsidRDefault="00C87577">
      <w:pPr>
        <w:pStyle w:val="TOC2"/>
        <w:rPr>
          <w:rFonts w:asciiTheme="minorHAnsi" w:eastAsiaTheme="minorEastAsia" w:hAnsiTheme="minorHAnsi" w:cstheme="minorBidi"/>
          <w:noProof/>
          <w:sz w:val="22"/>
          <w:szCs w:val="22"/>
        </w:rPr>
      </w:pPr>
      <w:hyperlink w:anchor="_Toc64534436" w:history="1">
        <w:r w:rsidR="00BA5E11" w:rsidRPr="00464DAB">
          <w:rPr>
            <w:rStyle w:val="Hyperlink"/>
            <w:rFonts w:ascii="Calibri" w:hAnsi="Calibri" w:cs="Calibri"/>
            <w:noProof/>
          </w:rPr>
          <w:t>4.</w:t>
        </w:r>
        <w:r w:rsidR="00BA5E11">
          <w:rPr>
            <w:rFonts w:asciiTheme="minorHAnsi" w:eastAsiaTheme="minorEastAsia" w:hAnsiTheme="minorHAnsi" w:cstheme="minorBidi"/>
            <w:noProof/>
            <w:sz w:val="22"/>
            <w:szCs w:val="22"/>
          </w:rPr>
          <w:tab/>
        </w:r>
        <w:r w:rsidR="00BA5E11" w:rsidRPr="00464DAB">
          <w:rPr>
            <w:rStyle w:val="Hyperlink"/>
            <w:rFonts w:ascii="Calibri" w:hAnsi="Calibri" w:cs="Calibri"/>
            <w:noProof/>
          </w:rPr>
          <w:t>Finansijska imovina</w:t>
        </w:r>
        <w:r w:rsidR="00BA5E11">
          <w:rPr>
            <w:noProof/>
            <w:webHidden/>
          </w:rPr>
          <w:tab/>
        </w:r>
        <w:r w:rsidR="00BA5E11">
          <w:rPr>
            <w:noProof/>
            <w:webHidden/>
          </w:rPr>
          <w:fldChar w:fldCharType="begin"/>
        </w:r>
        <w:r w:rsidR="00BA5E11">
          <w:rPr>
            <w:noProof/>
            <w:webHidden/>
          </w:rPr>
          <w:instrText xml:space="preserve"> PAGEREF _Toc64534436 \h </w:instrText>
        </w:r>
        <w:r w:rsidR="00BA5E11">
          <w:rPr>
            <w:noProof/>
            <w:webHidden/>
          </w:rPr>
        </w:r>
        <w:r w:rsidR="00BA5E11">
          <w:rPr>
            <w:noProof/>
            <w:webHidden/>
          </w:rPr>
          <w:fldChar w:fldCharType="separate"/>
        </w:r>
        <w:r w:rsidR="00BA5E11">
          <w:rPr>
            <w:noProof/>
            <w:webHidden/>
          </w:rPr>
          <w:t>12</w:t>
        </w:r>
        <w:r w:rsidR="00BA5E11">
          <w:rPr>
            <w:noProof/>
            <w:webHidden/>
          </w:rPr>
          <w:fldChar w:fldCharType="end"/>
        </w:r>
      </w:hyperlink>
    </w:p>
    <w:p w:rsidR="00BA5E11" w:rsidRDefault="00C87577">
      <w:pPr>
        <w:pStyle w:val="TOC2"/>
        <w:rPr>
          <w:rFonts w:asciiTheme="minorHAnsi" w:eastAsiaTheme="minorEastAsia" w:hAnsiTheme="minorHAnsi" w:cstheme="minorBidi"/>
          <w:noProof/>
          <w:sz w:val="22"/>
          <w:szCs w:val="22"/>
        </w:rPr>
      </w:pPr>
      <w:hyperlink w:anchor="_Toc64534437" w:history="1">
        <w:r w:rsidR="00BA5E11" w:rsidRPr="00464DAB">
          <w:rPr>
            <w:rStyle w:val="Hyperlink"/>
            <w:rFonts w:ascii="Calibri" w:hAnsi="Calibri" w:cs="Calibri"/>
            <w:noProof/>
          </w:rPr>
          <w:t>5.</w:t>
        </w:r>
        <w:r w:rsidR="00BA5E11">
          <w:rPr>
            <w:rFonts w:asciiTheme="minorHAnsi" w:eastAsiaTheme="minorEastAsia" w:hAnsiTheme="minorHAnsi" w:cstheme="minorBidi"/>
            <w:noProof/>
            <w:sz w:val="22"/>
            <w:szCs w:val="22"/>
          </w:rPr>
          <w:tab/>
        </w:r>
        <w:r w:rsidR="00BA5E11" w:rsidRPr="00464DAB">
          <w:rPr>
            <w:rStyle w:val="Hyperlink"/>
            <w:rFonts w:ascii="Calibri" w:hAnsi="Calibri" w:cs="Calibri"/>
            <w:noProof/>
          </w:rPr>
          <w:t>Nerealizovani dobici i gubici po osnovu promjene fer vrijednosti ulaganja</w:t>
        </w:r>
        <w:r w:rsidR="00BA5E11">
          <w:rPr>
            <w:noProof/>
            <w:webHidden/>
          </w:rPr>
          <w:tab/>
        </w:r>
        <w:r w:rsidR="00BA5E11">
          <w:rPr>
            <w:noProof/>
            <w:webHidden/>
          </w:rPr>
          <w:fldChar w:fldCharType="begin"/>
        </w:r>
        <w:r w:rsidR="00BA5E11">
          <w:rPr>
            <w:noProof/>
            <w:webHidden/>
          </w:rPr>
          <w:instrText xml:space="preserve"> PAGEREF _Toc64534437 \h </w:instrText>
        </w:r>
        <w:r w:rsidR="00BA5E11">
          <w:rPr>
            <w:noProof/>
            <w:webHidden/>
          </w:rPr>
        </w:r>
        <w:r w:rsidR="00BA5E11">
          <w:rPr>
            <w:noProof/>
            <w:webHidden/>
          </w:rPr>
          <w:fldChar w:fldCharType="separate"/>
        </w:r>
        <w:r w:rsidR="00BA5E11">
          <w:rPr>
            <w:noProof/>
            <w:webHidden/>
          </w:rPr>
          <w:t>15</w:t>
        </w:r>
        <w:r w:rsidR="00BA5E11">
          <w:rPr>
            <w:noProof/>
            <w:webHidden/>
          </w:rPr>
          <w:fldChar w:fldCharType="end"/>
        </w:r>
      </w:hyperlink>
    </w:p>
    <w:p w:rsidR="00BA5E11" w:rsidRDefault="00C87577">
      <w:pPr>
        <w:pStyle w:val="TOC2"/>
        <w:rPr>
          <w:rFonts w:asciiTheme="minorHAnsi" w:eastAsiaTheme="minorEastAsia" w:hAnsiTheme="minorHAnsi" w:cstheme="minorBidi"/>
          <w:noProof/>
          <w:sz w:val="22"/>
          <w:szCs w:val="22"/>
        </w:rPr>
      </w:pPr>
      <w:hyperlink w:anchor="_Toc64534438" w:history="1">
        <w:r w:rsidR="00BA5E11" w:rsidRPr="00464DAB">
          <w:rPr>
            <w:rStyle w:val="Hyperlink"/>
            <w:rFonts w:ascii="Calibri" w:hAnsi="Calibri" w:cs="Calibri"/>
            <w:noProof/>
          </w:rPr>
          <w:t>6.</w:t>
        </w:r>
        <w:r w:rsidR="00BA5E11">
          <w:rPr>
            <w:rFonts w:asciiTheme="minorHAnsi" w:eastAsiaTheme="minorEastAsia" w:hAnsiTheme="minorHAnsi" w:cstheme="minorBidi"/>
            <w:noProof/>
            <w:sz w:val="22"/>
            <w:szCs w:val="22"/>
          </w:rPr>
          <w:tab/>
        </w:r>
        <w:r w:rsidR="00BA5E11" w:rsidRPr="00464DAB">
          <w:rPr>
            <w:rStyle w:val="Hyperlink"/>
            <w:rFonts w:ascii="Calibri" w:hAnsi="Calibri" w:cs="Calibri"/>
            <w:noProof/>
          </w:rPr>
          <w:t>Realizovani dobici i gubici po osnovu prodaje hartija od vrijednosti</w:t>
        </w:r>
        <w:r w:rsidR="00BA5E11">
          <w:rPr>
            <w:noProof/>
            <w:webHidden/>
          </w:rPr>
          <w:tab/>
        </w:r>
        <w:r w:rsidR="00BA5E11">
          <w:rPr>
            <w:noProof/>
            <w:webHidden/>
          </w:rPr>
          <w:fldChar w:fldCharType="begin"/>
        </w:r>
        <w:r w:rsidR="00BA5E11">
          <w:rPr>
            <w:noProof/>
            <w:webHidden/>
          </w:rPr>
          <w:instrText xml:space="preserve"> PAGEREF _Toc64534438 \h </w:instrText>
        </w:r>
        <w:r w:rsidR="00BA5E11">
          <w:rPr>
            <w:noProof/>
            <w:webHidden/>
          </w:rPr>
        </w:r>
        <w:r w:rsidR="00BA5E11">
          <w:rPr>
            <w:noProof/>
            <w:webHidden/>
          </w:rPr>
          <w:fldChar w:fldCharType="separate"/>
        </w:r>
        <w:r w:rsidR="00BA5E11">
          <w:rPr>
            <w:noProof/>
            <w:webHidden/>
          </w:rPr>
          <w:t>16</w:t>
        </w:r>
        <w:r w:rsidR="00BA5E11">
          <w:rPr>
            <w:noProof/>
            <w:webHidden/>
          </w:rPr>
          <w:fldChar w:fldCharType="end"/>
        </w:r>
      </w:hyperlink>
    </w:p>
    <w:p w:rsidR="00BA5E11" w:rsidRDefault="00C87577">
      <w:pPr>
        <w:pStyle w:val="TOC2"/>
        <w:rPr>
          <w:rFonts w:asciiTheme="minorHAnsi" w:eastAsiaTheme="minorEastAsia" w:hAnsiTheme="minorHAnsi" w:cstheme="minorBidi"/>
          <w:noProof/>
          <w:sz w:val="22"/>
          <w:szCs w:val="22"/>
        </w:rPr>
      </w:pPr>
      <w:hyperlink w:anchor="_Toc64534439" w:history="1">
        <w:r w:rsidR="00BA5E11" w:rsidRPr="00464DAB">
          <w:rPr>
            <w:rStyle w:val="Hyperlink"/>
            <w:rFonts w:ascii="Calibri" w:hAnsi="Calibri" w:cs="Calibri"/>
            <w:noProof/>
          </w:rPr>
          <w:t>7.</w:t>
        </w:r>
        <w:r w:rsidR="00BA5E11">
          <w:rPr>
            <w:rFonts w:asciiTheme="minorHAnsi" w:eastAsiaTheme="minorEastAsia" w:hAnsiTheme="minorHAnsi" w:cstheme="minorBidi"/>
            <w:noProof/>
            <w:sz w:val="22"/>
            <w:szCs w:val="22"/>
          </w:rPr>
          <w:tab/>
        </w:r>
        <w:r w:rsidR="00BA5E11" w:rsidRPr="00464DAB">
          <w:rPr>
            <w:rStyle w:val="Hyperlink"/>
            <w:rFonts w:ascii="Calibri" w:hAnsi="Calibri" w:cs="Calibri"/>
            <w:noProof/>
          </w:rPr>
          <w:t>Utvrđivanje neto vrijednosti imovine fonda</w:t>
        </w:r>
        <w:r w:rsidR="00BA5E11">
          <w:rPr>
            <w:noProof/>
            <w:webHidden/>
          </w:rPr>
          <w:tab/>
        </w:r>
        <w:r w:rsidR="00BA5E11">
          <w:rPr>
            <w:noProof/>
            <w:webHidden/>
          </w:rPr>
          <w:fldChar w:fldCharType="begin"/>
        </w:r>
        <w:r w:rsidR="00BA5E11">
          <w:rPr>
            <w:noProof/>
            <w:webHidden/>
          </w:rPr>
          <w:instrText xml:space="preserve"> PAGEREF _Toc64534439 \h </w:instrText>
        </w:r>
        <w:r w:rsidR="00BA5E11">
          <w:rPr>
            <w:noProof/>
            <w:webHidden/>
          </w:rPr>
        </w:r>
        <w:r w:rsidR="00BA5E11">
          <w:rPr>
            <w:noProof/>
            <w:webHidden/>
          </w:rPr>
          <w:fldChar w:fldCharType="separate"/>
        </w:r>
        <w:r w:rsidR="00BA5E11">
          <w:rPr>
            <w:noProof/>
            <w:webHidden/>
          </w:rPr>
          <w:t>16</w:t>
        </w:r>
        <w:r w:rsidR="00BA5E11">
          <w:rPr>
            <w:noProof/>
            <w:webHidden/>
          </w:rPr>
          <w:fldChar w:fldCharType="end"/>
        </w:r>
      </w:hyperlink>
    </w:p>
    <w:p w:rsidR="00BA5E11" w:rsidRDefault="00C87577">
      <w:pPr>
        <w:pStyle w:val="TOC2"/>
        <w:rPr>
          <w:rFonts w:asciiTheme="minorHAnsi" w:eastAsiaTheme="minorEastAsia" w:hAnsiTheme="minorHAnsi" w:cstheme="minorBidi"/>
          <w:noProof/>
          <w:sz w:val="22"/>
          <w:szCs w:val="22"/>
        </w:rPr>
      </w:pPr>
      <w:hyperlink w:anchor="_Toc64534440" w:history="1">
        <w:r w:rsidR="00BA5E11" w:rsidRPr="00464DAB">
          <w:rPr>
            <w:rStyle w:val="Hyperlink"/>
            <w:rFonts w:ascii="Calibri" w:hAnsi="Calibri" w:cs="Calibri"/>
            <w:noProof/>
          </w:rPr>
          <w:t>8.</w:t>
        </w:r>
        <w:r w:rsidR="00BA5E11">
          <w:rPr>
            <w:rFonts w:asciiTheme="minorHAnsi" w:eastAsiaTheme="minorEastAsia" w:hAnsiTheme="minorHAnsi" w:cstheme="minorBidi"/>
            <w:noProof/>
            <w:sz w:val="22"/>
            <w:szCs w:val="22"/>
          </w:rPr>
          <w:tab/>
        </w:r>
        <w:r w:rsidR="00BA5E11" w:rsidRPr="00464DAB">
          <w:rPr>
            <w:rStyle w:val="Hyperlink"/>
            <w:rFonts w:ascii="Calibri" w:hAnsi="Calibri" w:cs="Calibri"/>
            <w:noProof/>
          </w:rPr>
          <w:t>Gotovine i gotovinski ekvivalenti</w:t>
        </w:r>
        <w:r w:rsidR="00BA5E11">
          <w:rPr>
            <w:noProof/>
            <w:webHidden/>
          </w:rPr>
          <w:tab/>
        </w:r>
        <w:r w:rsidR="00BA5E11">
          <w:rPr>
            <w:noProof/>
            <w:webHidden/>
          </w:rPr>
          <w:fldChar w:fldCharType="begin"/>
        </w:r>
        <w:r w:rsidR="00BA5E11">
          <w:rPr>
            <w:noProof/>
            <w:webHidden/>
          </w:rPr>
          <w:instrText xml:space="preserve"> PAGEREF _Toc64534440 \h </w:instrText>
        </w:r>
        <w:r w:rsidR="00BA5E11">
          <w:rPr>
            <w:noProof/>
            <w:webHidden/>
          </w:rPr>
        </w:r>
        <w:r w:rsidR="00BA5E11">
          <w:rPr>
            <w:noProof/>
            <w:webHidden/>
          </w:rPr>
          <w:fldChar w:fldCharType="separate"/>
        </w:r>
        <w:r w:rsidR="00BA5E11">
          <w:rPr>
            <w:noProof/>
            <w:webHidden/>
          </w:rPr>
          <w:t>16</w:t>
        </w:r>
        <w:r w:rsidR="00BA5E11">
          <w:rPr>
            <w:noProof/>
            <w:webHidden/>
          </w:rPr>
          <w:fldChar w:fldCharType="end"/>
        </w:r>
      </w:hyperlink>
    </w:p>
    <w:p w:rsidR="00BA5E11" w:rsidRDefault="00C87577">
      <w:pPr>
        <w:pStyle w:val="TOC2"/>
        <w:rPr>
          <w:rFonts w:asciiTheme="minorHAnsi" w:eastAsiaTheme="minorEastAsia" w:hAnsiTheme="minorHAnsi" w:cstheme="minorBidi"/>
          <w:noProof/>
          <w:sz w:val="22"/>
          <w:szCs w:val="22"/>
        </w:rPr>
      </w:pPr>
      <w:hyperlink w:anchor="_Toc64534441" w:history="1">
        <w:r w:rsidR="00BA5E11" w:rsidRPr="00464DAB">
          <w:rPr>
            <w:rStyle w:val="Hyperlink"/>
            <w:rFonts w:ascii="Calibri" w:hAnsi="Calibri" w:cs="Calibri"/>
            <w:noProof/>
          </w:rPr>
          <w:t>9.</w:t>
        </w:r>
        <w:r w:rsidR="00BA5E11">
          <w:rPr>
            <w:rFonts w:asciiTheme="minorHAnsi" w:eastAsiaTheme="minorEastAsia" w:hAnsiTheme="minorHAnsi" w:cstheme="minorBidi"/>
            <w:noProof/>
            <w:sz w:val="22"/>
            <w:szCs w:val="22"/>
          </w:rPr>
          <w:tab/>
        </w:r>
        <w:r w:rsidR="00BA5E11" w:rsidRPr="00464DAB">
          <w:rPr>
            <w:rStyle w:val="Hyperlink"/>
            <w:rFonts w:ascii="Calibri" w:hAnsi="Calibri" w:cs="Calibri"/>
            <w:noProof/>
          </w:rPr>
          <w:t>Porezi i dopirnosi iz rezultata</w:t>
        </w:r>
        <w:r w:rsidR="00BA5E11">
          <w:rPr>
            <w:noProof/>
            <w:webHidden/>
          </w:rPr>
          <w:tab/>
        </w:r>
        <w:r w:rsidR="00BA5E11">
          <w:rPr>
            <w:noProof/>
            <w:webHidden/>
          </w:rPr>
          <w:fldChar w:fldCharType="begin"/>
        </w:r>
        <w:r w:rsidR="00BA5E11">
          <w:rPr>
            <w:noProof/>
            <w:webHidden/>
          </w:rPr>
          <w:instrText xml:space="preserve"> PAGEREF _Toc64534441 \h </w:instrText>
        </w:r>
        <w:r w:rsidR="00BA5E11">
          <w:rPr>
            <w:noProof/>
            <w:webHidden/>
          </w:rPr>
        </w:r>
        <w:r w:rsidR="00BA5E11">
          <w:rPr>
            <w:noProof/>
            <w:webHidden/>
          </w:rPr>
          <w:fldChar w:fldCharType="separate"/>
        </w:r>
        <w:r w:rsidR="00BA5E11">
          <w:rPr>
            <w:noProof/>
            <w:webHidden/>
          </w:rPr>
          <w:t>16</w:t>
        </w:r>
        <w:r w:rsidR="00BA5E11">
          <w:rPr>
            <w:noProof/>
            <w:webHidden/>
          </w:rPr>
          <w:fldChar w:fldCharType="end"/>
        </w:r>
      </w:hyperlink>
    </w:p>
    <w:p w:rsidR="00BA5E11" w:rsidRDefault="00C87577">
      <w:pPr>
        <w:pStyle w:val="TOC2"/>
        <w:rPr>
          <w:rFonts w:asciiTheme="minorHAnsi" w:eastAsiaTheme="minorEastAsia" w:hAnsiTheme="minorHAnsi" w:cstheme="minorBidi"/>
          <w:noProof/>
          <w:sz w:val="22"/>
          <w:szCs w:val="22"/>
        </w:rPr>
      </w:pPr>
      <w:hyperlink w:anchor="_Toc64534442" w:history="1">
        <w:r w:rsidR="00BA5E11" w:rsidRPr="00464DAB">
          <w:rPr>
            <w:rStyle w:val="Hyperlink"/>
            <w:rFonts w:ascii="Calibri" w:hAnsi="Calibri" w:cs="Calibri"/>
            <w:noProof/>
          </w:rPr>
          <w:t>10.</w:t>
        </w:r>
        <w:r w:rsidR="00BA5E11">
          <w:rPr>
            <w:rFonts w:asciiTheme="minorHAnsi" w:eastAsiaTheme="minorEastAsia" w:hAnsiTheme="minorHAnsi" w:cstheme="minorBidi"/>
            <w:noProof/>
            <w:sz w:val="22"/>
            <w:szCs w:val="22"/>
          </w:rPr>
          <w:tab/>
        </w:r>
        <w:r w:rsidR="00BA5E11" w:rsidRPr="00464DAB">
          <w:rPr>
            <w:rStyle w:val="Hyperlink"/>
            <w:rFonts w:ascii="Calibri" w:hAnsi="Calibri" w:cs="Calibri"/>
            <w:noProof/>
          </w:rPr>
          <w:t>Povezana pravna i fizička lica</w:t>
        </w:r>
        <w:r w:rsidR="00BA5E11">
          <w:rPr>
            <w:noProof/>
            <w:webHidden/>
          </w:rPr>
          <w:tab/>
        </w:r>
        <w:r w:rsidR="00BA5E11">
          <w:rPr>
            <w:noProof/>
            <w:webHidden/>
          </w:rPr>
          <w:fldChar w:fldCharType="begin"/>
        </w:r>
        <w:r w:rsidR="00BA5E11">
          <w:rPr>
            <w:noProof/>
            <w:webHidden/>
          </w:rPr>
          <w:instrText xml:space="preserve"> PAGEREF _Toc64534442 \h </w:instrText>
        </w:r>
        <w:r w:rsidR="00BA5E11">
          <w:rPr>
            <w:noProof/>
            <w:webHidden/>
          </w:rPr>
        </w:r>
        <w:r w:rsidR="00BA5E11">
          <w:rPr>
            <w:noProof/>
            <w:webHidden/>
          </w:rPr>
          <w:fldChar w:fldCharType="separate"/>
        </w:r>
        <w:r w:rsidR="00BA5E11">
          <w:rPr>
            <w:noProof/>
            <w:webHidden/>
          </w:rPr>
          <w:t>17</w:t>
        </w:r>
        <w:r w:rsidR="00BA5E11">
          <w:rPr>
            <w:noProof/>
            <w:webHidden/>
          </w:rPr>
          <w:fldChar w:fldCharType="end"/>
        </w:r>
      </w:hyperlink>
    </w:p>
    <w:p w:rsidR="00BA5E11" w:rsidRDefault="00C87577">
      <w:pPr>
        <w:pStyle w:val="TOC1"/>
        <w:rPr>
          <w:rFonts w:asciiTheme="minorHAnsi" w:eastAsiaTheme="minorEastAsia" w:hAnsiTheme="minorHAnsi" w:cstheme="minorBidi"/>
          <w:noProof/>
          <w:sz w:val="22"/>
          <w:szCs w:val="22"/>
        </w:rPr>
      </w:pPr>
      <w:hyperlink w:anchor="_Toc64534443" w:history="1">
        <w:r w:rsidR="00BA5E11" w:rsidRPr="00464DAB">
          <w:rPr>
            <w:rStyle w:val="Hyperlink"/>
            <w:rFonts w:cs="Calibri"/>
            <w:noProof/>
          </w:rPr>
          <w:t>IV.</w:t>
        </w:r>
        <w:r w:rsidR="00BA5E11">
          <w:rPr>
            <w:rFonts w:asciiTheme="minorHAnsi" w:eastAsiaTheme="minorEastAsia" w:hAnsiTheme="minorHAnsi" w:cstheme="minorBidi"/>
            <w:noProof/>
            <w:sz w:val="22"/>
            <w:szCs w:val="22"/>
          </w:rPr>
          <w:tab/>
        </w:r>
        <w:r w:rsidR="00BA5E11" w:rsidRPr="00464DAB">
          <w:rPr>
            <w:rStyle w:val="Hyperlink"/>
            <w:rFonts w:ascii="Calibri" w:hAnsi="Calibri" w:cs="Calibri"/>
            <w:noProof/>
          </w:rPr>
          <w:t>ZNAČAJNE RAČUNOVODSTVENE PROCJENE</w:t>
        </w:r>
        <w:r w:rsidR="00BA5E11">
          <w:rPr>
            <w:noProof/>
            <w:webHidden/>
          </w:rPr>
          <w:tab/>
        </w:r>
        <w:r w:rsidR="00BA5E11">
          <w:rPr>
            <w:noProof/>
            <w:webHidden/>
          </w:rPr>
          <w:fldChar w:fldCharType="begin"/>
        </w:r>
        <w:r w:rsidR="00BA5E11">
          <w:rPr>
            <w:noProof/>
            <w:webHidden/>
          </w:rPr>
          <w:instrText xml:space="preserve"> PAGEREF _Toc64534443 \h </w:instrText>
        </w:r>
        <w:r w:rsidR="00BA5E11">
          <w:rPr>
            <w:noProof/>
            <w:webHidden/>
          </w:rPr>
        </w:r>
        <w:r w:rsidR="00BA5E11">
          <w:rPr>
            <w:noProof/>
            <w:webHidden/>
          </w:rPr>
          <w:fldChar w:fldCharType="separate"/>
        </w:r>
        <w:r w:rsidR="00BA5E11">
          <w:rPr>
            <w:noProof/>
            <w:webHidden/>
          </w:rPr>
          <w:t>18</w:t>
        </w:r>
        <w:r w:rsidR="00BA5E11">
          <w:rPr>
            <w:noProof/>
            <w:webHidden/>
          </w:rPr>
          <w:fldChar w:fldCharType="end"/>
        </w:r>
      </w:hyperlink>
    </w:p>
    <w:p w:rsidR="00BA5E11" w:rsidRDefault="00C87577">
      <w:pPr>
        <w:pStyle w:val="TOC1"/>
        <w:rPr>
          <w:rFonts w:asciiTheme="minorHAnsi" w:eastAsiaTheme="minorEastAsia" w:hAnsiTheme="minorHAnsi" w:cstheme="minorBidi"/>
          <w:noProof/>
          <w:sz w:val="22"/>
          <w:szCs w:val="22"/>
        </w:rPr>
      </w:pPr>
      <w:hyperlink w:anchor="_Toc64534444" w:history="1">
        <w:r w:rsidR="00BA5E11" w:rsidRPr="00464DAB">
          <w:rPr>
            <w:rStyle w:val="Hyperlink"/>
            <w:rFonts w:cs="Calibri"/>
            <w:noProof/>
          </w:rPr>
          <w:t>V.</w:t>
        </w:r>
        <w:r w:rsidR="00BA5E11">
          <w:rPr>
            <w:rFonts w:asciiTheme="minorHAnsi" w:eastAsiaTheme="minorEastAsia" w:hAnsiTheme="minorHAnsi" w:cstheme="minorBidi"/>
            <w:noProof/>
            <w:sz w:val="22"/>
            <w:szCs w:val="22"/>
          </w:rPr>
          <w:tab/>
        </w:r>
        <w:r w:rsidR="00BA5E11" w:rsidRPr="00464DAB">
          <w:rPr>
            <w:rStyle w:val="Hyperlink"/>
            <w:rFonts w:ascii="Calibri" w:hAnsi="Calibri" w:cs="Calibri"/>
            <w:noProof/>
          </w:rPr>
          <w:t>PRIHODI OD DIVIDENDI</w:t>
        </w:r>
        <w:r w:rsidR="00BA5E11">
          <w:rPr>
            <w:noProof/>
            <w:webHidden/>
          </w:rPr>
          <w:tab/>
        </w:r>
        <w:r w:rsidR="00BA5E11">
          <w:rPr>
            <w:noProof/>
            <w:webHidden/>
          </w:rPr>
          <w:fldChar w:fldCharType="begin"/>
        </w:r>
        <w:r w:rsidR="00BA5E11">
          <w:rPr>
            <w:noProof/>
            <w:webHidden/>
          </w:rPr>
          <w:instrText xml:space="preserve"> PAGEREF _Toc64534444 \h </w:instrText>
        </w:r>
        <w:r w:rsidR="00BA5E11">
          <w:rPr>
            <w:noProof/>
            <w:webHidden/>
          </w:rPr>
        </w:r>
        <w:r w:rsidR="00BA5E11">
          <w:rPr>
            <w:noProof/>
            <w:webHidden/>
          </w:rPr>
          <w:fldChar w:fldCharType="separate"/>
        </w:r>
        <w:r w:rsidR="00BA5E11">
          <w:rPr>
            <w:noProof/>
            <w:webHidden/>
          </w:rPr>
          <w:t>19</w:t>
        </w:r>
        <w:r w:rsidR="00BA5E11">
          <w:rPr>
            <w:noProof/>
            <w:webHidden/>
          </w:rPr>
          <w:fldChar w:fldCharType="end"/>
        </w:r>
      </w:hyperlink>
    </w:p>
    <w:p w:rsidR="00BA5E11" w:rsidRDefault="00C87577">
      <w:pPr>
        <w:pStyle w:val="TOC1"/>
        <w:rPr>
          <w:rFonts w:asciiTheme="minorHAnsi" w:eastAsiaTheme="minorEastAsia" w:hAnsiTheme="minorHAnsi" w:cstheme="minorBidi"/>
          <w:noProof/>
          <w:sz w:val="22"/>
          <w:szCs w:val="22"/>
        </w:rPr>
      </w:pPr>
      <w:hyperlink w:anchor="_Toc64534445" w:history="1">
        <w:r w:rsidR="00BA5E11" w:rsidRPr="00464DAB">
          <w:rPr>
            <w:rStyle w:val="Hyperlink"/>
            <w:rFonts w:cs="Calibri"/>
            <w:noProof/>
          </w:rPr>
          <w:t>VI.</w:t>
        </w:r>
        <w:r w:rsidR="00BA5E11">
          <w:rPr>
            <w:rFonts w:asciiTheme="minorHAnsi" w:eastAsiaTheme="minorEastAsia" w:hAnsiTheme="minorHAnsi" w:cstheme="minorBidi"/>
            <w:noProof/>
            <w:sz w:val="22"/>
            <w:szCs w:val="22"/>
          </w:rPr>
          <w:tab/>
        </w:r>
        <w:r w:rsidR="00BA5E11" w:rsidRPr="00464DAB">
          <w:rPr>
            <w:rStyle w:val="Hyperlink"/>
            <w:rFonts w:ascii="Calibri" w:hAnsi="Calibri" w:cs="Calibri"/>
            <w:noProof/>
          </w:rPr>
          <w:t>PRIHODI OD KAMATA I AMORTIZACIJA PREMIJE (DISKONTA) PO OSNOVU HOV SA FIKSNIM ROKOM DOSPJEĆA</w:t>
        </w:r>
        <w:r w:rsidR="00BA5E11">
          <w:rPr>
            <w:noProof/>
            <w:webHidden/>
          </w:rPr>
          <w:tab/>
        </w:r>
        <w:r w:rsidR="00BA5E11">
          <w:rPr>
            <w:noProof/>
            <w:webHidden/>
          </w:rPr>
          <w:fldChar w:fldCharType="begin"/>
        </w:r>
        <w:r w:rsidR="00BA5E11">
          <w:rPr>
            <w:noProof/>
            <w:webHidden/>
          </w:rPr>
          <w:instrText xml:space="preserve"> PAGEREF _Toc64534445 \h </w:instrText>
        </w:r>
        <w:r w:rsidR="00BA5E11">
          <w:rPr>
            <w:noProof/>
            <w:webHidden/>
          </w:rPr>
        </w:r>
        <w:r w:rsidR="00BA5E11">
          <w:rPr>
            <w:noProof/>
            <w:webHidden/>
          </w:rPr>
          <w:fldChar w:fldCharType="separate"/>
        </w:r>
        <w:r w:rsidR="00BA5E11">
          <w:rPr>
            <w:noProof/>
            <w:webHidden/>
          </w:rPr>
          <w:t>19</w:t>
        </w:r>
        <w:r w:rsidR="00BA5E11">
          <w:rPr>
            <w:noProof/>
            <w:webHidden/>
          </w:rPr>
          <w:fldChar w:fldCharType="end"/>
        </w:r>
      </w:hyperlink>
    </w:p>
    <w:p w:rsidR="00BA5E11" w:rsidRDefault="00C87577">
      <w:pPr>
        <w:pStyle w:val="TOC1"/>
        <w:rPr>
          <w:rFonts w:asciiTheme="minorHAnsi" w:eastAsiaTheme="minorEastAsia" w:hAnsiTheme="minorHAnsi" w:cstheme="minorBidi"/>
          <w:noProof/>
          <w:sz w:val="22"/>
          <w:szCs w:val="22"/>
        </w:rPr>
      </w:pPr>
      <w:hyperlink w:anchor="_Toc64534446" w:history="1">
        <w:r w:rsidR="00BA5E11" w:rsidRPr="00464DAB">
          <w:rPr>
            <w:rStyle w:val="Hyperlink"/>
            <w:rFonts w:cs="Calibri"/>
            <w:noProof/>
          </w:rPr>
          <w:t>VII.</w:t>
        </w:r>
        <w:r w:rsidR="00BA5E11">
          <w:rPr>
            <w:rFonts w:asciiTheme="minorHAnsi" w:eastAsiaTheme="minorEastAsia" w:hAnsiTheme="minorHAnsi" w:cstheme="minorBidi"/>
            <w:noProof/>
            <w:sz w:val="22"/>
            <w:szCs w:val="22"/>
          </w:rPr>
          <w:tab/>
        </w:r>
        <w:r w:rsidR="00BA5E11" w:rsidRPr="00464DAB">
          <w:rPr>
            <w:rStyle w:val="Hyperlink"/>
            <w:rFonts w:ascii="Calibri" w:hAnsi="Calibri" w:cs="Calibri"/>
            <w:noProof/>
          </w:rPr>
          <w:t>REALIZOVANI DOBICI I GUBICI OD ULAGANJA</w:t>
        </w:r>
        <w:r w:rsidR="00BA5E11">
          <w:rPr>
            <w:noProof/>
            <w:webHidden/>
          </w:rPr>
          <w:tab/>
        </w:r>
        <w:r w:rsidR="00BA5E11">
          <w:rPr>
            <w:noProof/>
            <w:webHidden/>
          </w:rPr>
          <w:fldChar w:fldCharType="begin"/>
        </w:r>
        <w:r w:rsidR="00BA5E11">
          <w:rPr>
            <w:noProof/>
            <w:webHidden/>
          </w:rPr>
          <w:instrText xml:space="preserve"> PAGEREF _Toc64534446 \h </w:instrText>
        </w:r>
        <w:r w:rsidR="00BA5E11">
          <w:rPr>
            <w:noProof/>
            <w:webHidden/>
          </w:rPr>
        </w:r>
        <w:r w:rsidR="00BA5E11">
          <w:rPr>
            <w:noProof/>
            <w:webHidden/>
          </w:rPr>
          <w:fldChar w:fldCharType="separate"/>
        </w:r>
        <w:r w:rsidR="00BA5E11">
          <w:rPr>
            <w:noProof/>
            <w:webHidden/>
          </w:rPr>
          <w:t>20</w:t>
        </w:r>
        <w:r w:rsidR="00BA5E11">
          <w:rPr>
            <w:noProof/>
            <w:webHidden/>
          </w:rPr>
          <w:fldChar w:fldCharType="end"/>
        </w:r>
      </w:hyperlink>
    </w:p>
    <w:p w:rsidR="00BA5E11" w:rsidRDefault="00C87577">
      <w:pPr>
        <w:pStyle w:val="TOC1"/>
        <w:rPr>
          <w:rFonts w:asciiTheme="minorHAnsi" w:eastAsiaTheme="minorEastAsia" w:hAnsiTheme="minorHAnsi" w:cstheme="minorBidi"/>
          <w:noProof/>
          <w:sz w:val="22"/>
          <w:szCs w:val="22"/>
        </w:rPr>
      </w:pPr>
      <w:hyperlink w:anchor="_Toc64534447" w:history="1">
        <w:r w:rsidR="00BA5E11" w:rsidRPr="00464DAB">
          <w:rPr>
            <w:rStyle w:val="Hyperlink"/>
            <w:rFonts w:cs="Calibri"/>
            <w:noProof/>
          </w:rPr>
          <w:t>VIII.</w:t>
        </w:r>
        <w:r w:rsidR="00BA5E11">
          <w:rPr>
            <w:rFonts w:asciiTheme="minorHAnsi" w:eastAsiaTheme="minorEastAsia" w:hAnsiTheme="minorHAnsi" w:cstheme="minorBidi"/>
            <w:noProof/>
            <w:sz w:val="22"/>
            <w:szCs w:val="22"/>
          </w:rPr>
          <w:tab/>
        </w:r>
        <w:r w:rsidR="00BA5E11" w:rsidRPr="00464DAB">
          <w:rPr>
            <w:rStyle w:val="Hyperlink"/>
            <w:rFonts w:ascii="Calibri" w:hAnsi="Calibri" w:cs="Calibri"/>
            <w:noProof/>
          </w:rPr>
          <w:t>NAKNADA DRUŠTVU ZA  UPRAVLJANJE</w:t>
        </w:r>
        <w:r w:rsidR="00BA5E11">
          <w:rPr>
            <w:noProof/>
            <w:webHidden/>
          </w:rPr>
          <w:tab/>
        </w:r>
        <w:r w:rsidR="00BA5E11">
          <w:rPr>
            <w:noProof/>
            <w:webHidden/>
          </w:rPr>
          <w:fldChar w:fldCharType="begin"/>
        </w:r>
        <w:r w:rsidR="00BA5E11">
          <w:rPr>
            <w:noProof/>
            <w:webHidden/>
          </w:rPr>
          <w:instrText xml:space="preserve"> PAGEREF _Toc64534447 \h </w:instrText>
        </w:r>
        <w:r w:rsidR="00BA5E11">
          <w:rPr>
            <w:noProof/>
            <w:webHidden/>
          </w:rPr>
        </w:r>
        <w:r w:rsidR="00BA5E11">
          <w:rPr>
            <w:noProof/>
            <w:webHidden/>
          </w:rPr>
          <w:fldChar w:fldCharType="separate"/>
        </w:r>
        <w:r w:rsidR="00BA5E11">
          <w:rPr>
            <w:noProof/>
            <w:webHidden/>
          </w:rPr>
          <w:t>20</w:t>
        </w:r>
        <w:r w:rsidR="00BA5E11">
          <w:rPr>
            <w:noProof/>
            <w:webHidden/>
          </w:rPr>
          <w:fldChar w:fldCharType="end"/>
        </w:r>
      </w:hyperlink>
    </w:p>
    <w:p w:rsidR="00BA5E11" w:rsidRDefault="00C87577">
      <w:pPr>
        <w:pStyle w:val="TOC1"/>
        <w:rPr>
          <w:rFonts w:asciiTheme="minorHAnsi" w:eastAsiaTheme="minorEastAsia" w:hAnsiTheme="minorHAnsi" w:cstheme="minorBidi"/>
          <w:noProof/>
          <w:sz w:val="22"/>
          <w:szCs w:val="22"/>
        </w:rPr>
      </w:pPr>
      <w:hyperlink w:anchor="_Toc64534448" w:history="1">
        <w:r w:rsidR="00BA5E11" w:rsidRPr="00464DAB">
          <w:rPr>
            <w:rStyle w:val="Hyperlink"/>
            <w:rFonts w:cs="Calibri"/>
            <w:noProof/>
          </w:rPr>
          <w:t>IX.</w:t>
        </w:r>
        <w:r w:rsidR="00BA5E11">
          <w:rPr>
            <w:rFonts w:asciiTheme="minorHAnsi" w:eastAsiaTheme="minorEastAsia" w:hAnsiTheme="minorHAnsi" w:cstheme="minorBidi"/>
            <w:noProof/>
            <w:sz w:val="22"/>
            <w:szCs w:val="22"/>
          </w:rPr>
          <w:tab/>
        </w:r>
        <w:r w:rsidR="00BA5E11" w:rsidRPr="00464DAB">
          <w:rPr>
            <w:rStyle w:val="Hyperlink"/>
            <w:rFonts w:ascii="Calibri" w:hAnsi="Calibri" w:cs="Calibri"/>
            <w:noProof/>
          </w:rPr>
          <w:t>NAKNADA DEPOZITARU</w:t>
        </w:r>
        <w:r w:rsidR="00BA5E11">
          <w:rPr>
            <w:noProof/>
            <w:webHidden/>
          </w:rPr>
          <w:tab/>
        </w:r>
        <w:r w:rsidR="00BA5E11">
          <w:rPr>
            <w:noProof/>
            <w:webHidden/>
          </w:rPr>
          <w:fldChar w:fldCharType="begin"/>
        </w:r>
        <w:r w:rsidR="00BA5E11">
          <w:rPr>
            <w:noProof/>
            <w:webHidden/>
          </w:rPr>
          <w:instrText xml:space="preserve"> PAGEREF _Toc64534448 \h </w:instrText>
        </w:r>
        <w:r w:rsidR="00BA5E11">
          <w:rPr>
            <w:noProof/>
            <w:webHidden/>
          </w:rPr>
        </w:r>
        <w:r w:rsidR="00BA5E11">
          <w:rPr>
            <w:noProof/>
            <w:webHidden/>
          </w:rPr>
          <w:fldChar w:fldCharType="separate"/>
        </w:r>
        <w:r w:rsidR="00BA5E11">
          <w:rPr>
            <w:noProof/>
            <w:webHidden/>
          </w:rPr>
          <w:t>20</w:t>
        </w:r>
        <w:r w:rsidR="00BA5E11">
          <w:rPr>
            <w:noProof/>
            <w:webHidden/>
          </w:rPr>
          <w:fldChar w:fldCharType="end"/>
        </w:r>
      </w:hyperlink>
    </w:p>
    <w:p w:rsidR="00BA5E11" w:rsidRDefault="00C87577">
      <w:pPr>
        <w:pStyle w:val="TOC1"/>
        <w:rPr>
          <w:rFonts w:asciiTheme="minorHAnsi" w:eastAsiaTheme="minorEastAsia" w:hAnsiTheme="minorHAnsi" w:cstheme="minorBidi"/>
          <w:noProof/>
          <w:sz w:val="22"/>
          <w:szCs w:val="22"/>
        </w:rPr>
      </w:pPr>
      <w:hyperlink w:anchor="_Toc64534449" w:history="1">
        <w:r w:rsidR="00BA5E11" w:rsidRPr="00464DAB">
          <w:rPr>
            <w:rStyle w:val="Hyperlink"/>
            <w:rFonts w:cs="Calibri"/>
            <w:noProof/>
            <w:lang w:val="sr-Latn-CS"/>
          </w:rPr>
          <w:t>X.</w:t>
        </w:r>
        <w:r w:rsidR="00BA5E11">
          <w:rPr>
            <w:rFonts w:asciiTheme="minorHAnsi" w:eastAsiaTheme="minorEastAsia" w:hAnsiTheme="minorHAnsi" w:cstheme="minorBidi"/>
            <w:noProof/>
            <w:sz w:val="22"/>
            <w:szCs w:val="22"/>
          </w:rPr>
          <w:tab/>
        </w:r>
        <w:r w:rsidR="00BA5E11" w:rsidRPr="00464DAB">
          <w:rPr>
            <w:rStyle w:val="Hyperlink"/>
            <w:rFonts w:ascii="Calibri" w:hAnsi="Calibri" w:cs="Calibri"/>
            <w:noProof/>
            <w:lang w:val="sr-Latn-CS"/>
          </w:rPr>
          <w:t>OSTALI POSLOVNI RASHODI FONDA</w:t>
        </w:r>
        <w:r w:rsidR="00BA5E11">
          <w:rPr>
            <w:noProof/>
            <w:webHidden/>
          </w:rPr>
          <w:tab/>
        </w:r>
        <w:r w:rsidR="00BA5E11">
          <w:rPr>
            <w:noProof/>
            <w:webHidden/>
          </w:rPr>
          <w:fldChar w:fldCharType="begin"/>
        </w:r>
        <w:r w:rsidR="00BA5E11">
          <w:rPr>
            <w:noProof/>
            <w:webHidden/>
          </w:rPr>
          <w:instrText xml:space="preserve"> PAGEREF _Toc64534449 \h </w:instrText>
        </w:r>
        <w:r w:rsidR="00BA5E11">
          <w:rPr>
            <w:noProof/>
            <w:webHidden/>
          </w:rPr>
        </w:r>
        <w:r w:rsidR="00BA5E11">
          <w:rPr>
            <w:noProof/>
            <w:webHidden/>
          </w:rPr>
          <w:fldChar w:fldCharType="separate"/>
        </w:r>
        <w:r w:rsidR="00BA5E11">
          <w:rPr>
            <w:noProof/>
            <w:webHidden/>
          </w:rPr>
          <w:t>20</w:t>
        </w:r>
        <w:r w:rsidR="00BA5E11">
          <w:rPr>
            <w:noProof/>
            <w:webHidden/>
          </w:rPr>
          <w:fldChar w:fldCharType="end"/>
        </w:r>
      </w:hyperlink>
    </w:p>
    <w:p w:rsidR="00BA5E11" w:rsidRDefault="00C87577">
      <w:pPr>
        <w:pStyle w:val="TOC1"/>
        <w:rPr>
          <w:rFonts w:asciiTheme="minorHAnsi" w:eastAsiaTheme="minorEastAsia" w:hAnsiTheme="minorHAnsi" w:cstheme="minorBidi"/>
          <w:noProof/>
          <w:sz w:val="22"/>
          <w:szCs w:val="22"/>
        </w:rPr>
      </w:pPr>
      <w:hyperlink w:anchor="_Toc64534450" w:history="1">
        <w:r w:rsidR="00BA5E11" w:rsidRPr="00464DAB">
          <w:rPr>
            <w:rStyle w:val="Hyperlink"/>
            <w:rFonts w:cs="Calibri"/>
            <w:noProof/>
          </w:rPr>
          <w:t>XI.</w:t>
        </w:r>
        <w:r w:rsidR="00BA5E11">
          <w:rPr>
            <w:rFonts w:asciiTheme="minorHAnsi" w:eastAsiaTheme="minorEastAsia" w:hAnsiTheme="minorHAnsi" w:cstheme="minorBidi"/>
            <w:noProof/>
            <w:sz w:val="22"/>
            <w:szCs w:val="22"/>
          </w:rPr>
          <w:tab/>
        </w:r>
        <w:r w:rsidR="00BA5E11" w:rsidRPr="00464DAB">
          <w:rPr>
            <w:rStyle w:val="Hyperlink"/>
            <w:rFonts w:ascii="Calibri" w:hAnsi="Calibri" w:cs="Calibri"/>
            <w:noProof/>
          </w:rPr>
          <w:t>POREZ NA DOBITAK</w:t>
        </w:r>
        <w:r w:rsidR="00BA5E11">
          <w:rPr>
            <w:noProof/>
            <w:webHidden/>
          </w:rPr>
          <w:tab/>
        </w:r>
        <w:r w:rsidR="00BA5E11">
          <w:rPr>
            <w:noProof/>
            <w:webHidden/>
          </w:rPr>
          <w:fldChar w:fldCharType="begin"/>
        </w:r>
        <w:r w:rsidR="00BA5E11">
          <w:rPr>
            <w:noProof/>
            <w:webHidden/>
          </w:rPr>
          <w:instrText xml:space="preserve"> PAGEREF _Toc64534450 \h </w:instrText>
        </w:r>
        <w:r w:rsidR="00BA5E11">
          <w:rPr>
            <w:noProof/>
            <w:webHidden/>
          </w:rPr>
        </w:r>
        <w:r w:rsidR="00BA5E11">
          <w:rPr>
            <w:noProof/>
            <w:webHidden/>
          </w:rPr>
          <w:fldChar w:fldCharType="separate"/>
        </w:r>
        <w:r w:rsidR="00BA5E11">
          <w:rPr>
            <w:noProof/>
            <w:webHidden/>
          </w:rPr>
          <w:t>21</w:t>
        </w:r>
        <w:r w:rsidR="00BA5E11">
          <w:rPr>
            <w:noProof/>
            <w:webHidden/>
          </w:rPr>
          <w:fldChar w:fldCharType="end"/>
        </w:r>
      </w:hyperlink>
    </w:p>
    <w:p w:rsidR="00BA5E11" w:rsidRDefault="00C87577">
      <w:pPr>
        <w:pStyle w:val="TOC1"/>
        <w:rPr>
          <w:rFonts w:asciiTheme="minorHAnsi" w:eastAsiaTheme="minorEastAsia" w:hAnsiTheme="minorHAnsi" w:cstheme="minorBidi"/>
          <w:noProof/>
          <w:sz w:val="22"/>
          <w:szCs w:val="22"/>
        </w:rPr>
      </w:pPr>
      <w:hyperlink w:anchor="_Toc64534451" w:history="1">
        <w:r w:rsidR="00BA5E11" w:rsidRPr="00464DAB">
          <w:rPr>
            <w:rStyle w:val="Hyperlink"/>
            <w:rFonts w:cs="Calibri"/>
            <w:noProof/>
          </w:rPr>
          <w:t>XII.</w:t>
        </w:r>
        <w:r w:rsidR="00BA5E11">
          <w:rPr>
            <w:rFonts w:asciiTheme="minorHAnsi" w:eastAsiaTheme="minorEastAsia" w:hAnsiTheme="minorHAnsi" w:cstheme="minorBidi"/>
            <w:noProof/>
            <w:sz w:val="22"/>
            <w:szCs w:val="22"/>
          </w:rPr>
          <w:tab/>
        </w:r>
        <w:r w:rsidR="00BA5E11" w:rsidRPr="00464DAB">
          <w:rPr>
            <w:rStyle w:val="Hyperlink"/>
            <w:rFonts w:ascii="Calibri" w:hAnsi="Calibri" w:cs="Calibri"/>
            <w:noProof/>
          </w:rPr>
          <w:t>GOTOVINA</w:t>
        </w:r>
        <w:r w:rsidR="00BA5E11">
          <w:rPr>
            <w:noProof/>
            <w:webHidden/>
          </w:rPr>
          <w:tab/>
        </w:r>
        <w:r w:rsidR="00BA5E11">
          <w:rPr>
            <w:noProof/>
            <w:webHidden/>
          </w:rPr>
          <w:fldChar w:fldCharType="begin"/>
        </w:r>
        <w:r w:rsidR="00BA5E11">
          <w:rPr>
            <w:noProof/>
            <w:webHidden/>
          </w:rPr>
          <w:instrText xml:space="preserve"> PAGEREF _Toc64534451 \h </w:instrText>
        </w:r>
        <w:r w:rsidR="00BA5E11">
          <w:rPr>
            <w:noProof/>
            <w:webHidden/>
          </w:rPr>
        </w:r>
        <w:r w:rsidR="00BA5E11">
          <w:rPr>
            <w:noProof/>
            <w:webHidden/>
          </w:rPr>
          <w:fldChar w:fldCharType="separate"/>
        </w:r>
        <w:r w:rsidR="00BA5E11">
          <w:rPr>
            <w:noProof/>
            <w:webHidden/>
          </w:rPr>
          <w:t>21</w:t>
        </w:r>
        <w:r w:rsidR="00BA5E11">
          <w:rPr>
            <w:noProof/>
            <w:webHidden/>
          </w:rPr>
          <w:fldChar w:fldCharType="end"/>
        </w:r>
      </w:hyperlink>
    </w:p>
    <w:p w:rsidR="00BA5E11" w:rsidRDefault="00C87577">
      <w:pPr>
        <w:pStyle w:val="TOC1"/>
        <w:rPr>
          <w:rFonts w:asciiTheme="minorHAnsi" w:eastAsiaTheme="minorEastAsia" w:hAnsiTheme="minorHAnsi" w:cstheme="minorBidi"/>
          <w:noProof/>
          <w:sz w:val="22"/>
          <w:szCs w:val="22"/>
        </w:rPr>
      </w:pPr>
      <w:hyperlink w:anchor="_Toc64534452" w:history="1">
        <w:r w:rsidR="00BA5E11" w:rsidRPr="00464DAB">
          <w:rPr>
            <w:rStyle w:val="Hyperlink"/>
            <w:rFonts w:cs="Calibri"/>
            <w:noProof/>
          </w:rPr>
          <w:t>XIII.</w:t>
        </w:r>
        <w:r w:rsidR="00BA5E11">
          <w:rPr>
            <w:rFonts w:asciiTheme="minorHAnsi" w:eastAsiaTheme="minorEastAsia" w:hAnsiTheme="minorHAnsi" w:cstheme="minorBidi"/>
            <w:noProof/>
            <w:sz w:val="22"/>
            <w:szCs w:val="22"/>
          </w:rPr>
          <w:tab/>
        </w:r>
        <w:r w:rsidR="00BA5E11" w:rsidRPr="00464DAB">
          <w:rPr>
            <w:rStyle w:val="Hyperlink"/>
            <w:rFonts w:ascii="Calibri" w:hAnsi="Calibri" w:cs="Calibri"/>
            <w:noProof/>
          </w:rPr>
          <w:t>ULAGANJA FONDA U FINANSIJSKA SREDSTVA</w:t>
        </w:r>
        <w:r w:rsidR="00BA5E11">
          <w:rPr>
            <w:noProof/>
            <w:webHidden/>
          </w:rPr>
          <w:tab/>
        </w:r>
        <w:r w:rsidR="00BA5E11">
          <w:rPr>
            <w:noProof/>
            <w:webHidden/>
          </w:rPr>
          <w:fldChar w:fldCharType="begin"/>
        </w:r>
        <w:r w:rsidR="00BA5E11">
          <w:rPr>
            <w:noProof/>
            <w:webHidden/>
          </w:rPr>
          <w:instrText xml:space="preserve"> PAGEREF _Toc64534452 \h </w:instrText>
        </w:r>
        <w:r w:rsidR="00BA5E11">
          <w:rPr>
            <w:noProof/>
            <w:webHidden/>
          </w:rPr>
        </w:r>
        <w:r w:rsidR="00BA5E11">
          <w:rPr>
            <w:noProof/>
            <w:webHidden/>
          </w:rPr>
          <w:fldChar w:fldCharType="separate"/>
        </w:r>
        <w:r w:rsidR="00BA5E11">
          <w:rPr>
            <w:noProof/>
            <w:webHidden/>
          </w:rPr>
          <w:t>21</w:t>
        </w:r>
        <w:r w:rsidR="00BA5E11">
          <w:rPr>
            <w:noProof/>
            <w:webHidden/>
          </w:rPr>
          <w:fldChar w:fldCharType="end"/>
        </w:r>
      </w:hyperlink>
    </w:p>
    <w:p w:rsidR="00BA5E11" w:rsidRDefault="00C87577">
      <w:pPr>
        <w:pStyle w:val="TOC1"/>
        <w:rPr>
          <w:rFonts w:asciiTheme="minorHAnsi" w:eastAsiaTheme="minorEastAsia" w:hAnsiTheme="minorHAnsi" w:cstheme="minorBidi"/>
          <w:noProof/>
          <w:sz w:val="22"/>
          <w:szCs w:val="22"/>
        </w:rPr>
      </w:pPr>
      <w:hyperlink w:anchor="_Toc64534453" w:history="1">
        <w:r w:rsidR="00BA5E11" w:rsidRPr="00464DAB">
          <w:rPr>
            <w:rStyle w:val="Hyperlink"/>
            <w:rFonts w:cs="Calibri"/>
            <w:noProof/>
          </w:rPr>
          <w:t>XIV.</w:t>
        </w:r>
        <w:r w:rsidR="00BA5E11">
          <w:rPr>
            <w:rFonts w:asciiTheme="minorHAnsi" w:eastAsiaTheme="minorEastAsia" w:hAnsiTheme="minorHAnsi" w:cstheme="minorBidi"/>
            <w:noProof/>
            <w:sz w:val="22"/>
            <w:szCs w:val="22"/>
          </w:rPr>
          <w:tab/>
        </w:r>
        <w:r w:rsidR="00BA5E11" w:rsidRPr="00464DAB">
          <w:rPr>
            <w:rStyle w:val="Hyperlink"/>
            <w:rFonts w:ascii="Calibri" w:hAnsi="Calibri" w:cs="Calibri"/>
            <w:noProof/>
          </w:rPr>
          <w:t>DEPOZITI I PLASMANI</w:t>
        </w:r>
        <w:r w:rsidR="00BA5E11">
          <w:rPr>
            <w:noProof/>
            <w:webHidden/>
          </w:rPr>
          <w:tab/>
        </w:r>
        <w:r w:rsidR="00BA5E11">
          <w:rPr>
            <w:noProof/>
            <w:webHidden/>
          </w:rPr>
          <w:fldChar w:fldCharType="begin"/>
        </w:r>
        <w:r w:rsidR="00BA5E11">
          <w:rPr>
            <w:noProof/>
            <w:webHidden/>
          </w:rPr>
          <w:instrText xml:space="preserve"> PAGEREF _Toc64534453 \h </w:instrText>
        </w:r>
        <w:r w:rsidR="00BA5E11">
          <w:rPr>
            <w:noProof/>
            <w:webHidden/>
          </w:rPr>
        </w:r>
        <w:r w:rsidR="00BA5E11">
          <w:rPr>
            <w:noProof/>
            <w:webHidden/>
          </w:rPr>
          <w:fldChar w:fldCharType="separate"/>
        </w:r>
        <w:r w:rsidR="00BA5E11">
          <w:rPr>
            <w:noProof/>
            <w:webHidden/>
          </w:rPr>
          <w:t>22</w:t>
        </w:r>
        <w:r w:rsidR="00BA5E11">
          <w:rPr>
            <w:noProof/>
            <w:webHidden/>
          </w:rPr>
          <w:fldChar w:fldCharType="end"/>
        </w:r>
      </w:hyperlink>
    </w:p>
    <w:p w:rsidR="00BA5E11" w:rsidRDefault="00C87577">
      <w:pPr>
        <w:pStyle w:val="TOC1"/>
        <w:rPr>
          <w:rFonts w:asciiTheme="minorHAnsi" w:eastAsiaTheme="minorEastAsia" w:hAnsiTheme="minorHAnsi" w:cstheme="minorBidi"/>
          <w:noProof/>
          <w:sz w:val="22"/>
          <w:szCs w:val="22"/>
        </w:rPr>
      </w:pPr>
      <w:hyperlink w:anchor="_Toc64534454" w:history="1">
        <w:r w:rsidR="00BA5E11" w:rsidRPr="00464DAB">
          <w:rPr>
            <w:rStyle w:val="Hyperlink"/>
            <w:rFonts w:cs="Calibri"/>
            <w:noProof/>
          </w:rPr>
          <w:t>XV.</w:t>
        </w:r>
        <w:r w:rsidR="00BA5E11">
          <w:rPr>
            <w:rFonts w:asciiTheme="minorHAnsi" w:eastAsiaTheme="minorEastAsia" w:hAnsiTheme="minorHAnsi" w:cstheme="minorBidi"/>
            <w:noProof/>
            <w:sz w:val="22"/>
            <w:szCs w:val="22"/>
          </w:rPr>
          <w:tab/>
        </w:r>
        <w:r w:rsidR="00BA5E11" w:rsidRPr="00464DAB">
          <w:rPr>
            <w:rStyle w:val="Hyperlink"/>
            <w:rFonts w:ascii="Calibri" w:hAnsi="Calibri" w:cs="Calibri"/>
            <w:noProof/>
          </w:rPr>
          <w:t>POTRAŽIVANJA PO OSNOVU DIVIDENDI I KAMATA</w:t>
        </w:r>
        <w:r w:rsidR="00BA5E11">
          <w:rPr>
            <w:noProof/>
            <w:webHidden/>
          </w:rPr>
          <w:tab/>
        </w:r>
        <w:r w:rsidR="00BA5E11">
          <w:rPr>
            <w:noProof/>
            <w:webHidden/>
          </w:rPr>
          <w:fldChar w:fldCharType="begin"/>
        </w:r>
        <w:r w:rsidR="00BA5E11">
          <w:rPr>
            <w:noProof/>
            <w:webHidden/>
          </w:rPr>
          <w:instrText xml:space="preserve"> PAGEREF _Toc64534454 \h </w:instrText>
        </w:r>
        <w:r w:rsidR="00BA5E11">
          <w:rPr>
            <w:noProof/>
            <w:webHidden/>
          </w:rPr>
        </w:r>
        <w:r w:rsidR="00BA5E11">
          <w:rPr>
            <w:noProof/>
            <w:webHidden/>
          </w:rPr>
          <w:fldChar w:fldCharType="separate"/>
        </w:r>
        <w:r w:rsidR="00BA5E11">
          <w:rPr>
            <w:noProof/>
            <w:webHidden/>
          </w:rPr>
          <w:t>23</w:t>
        </w:r>
        <w:r w:rsidR="00BA5E11">
          <w:rPr>
            <w:noProof/>
            <w:webHidden/>
          </w:rPr>
          <w:fldChar w:fldCharType="end"/>
        </w:r>
      </w:hyperlink>
    </w:p>
    <w:p w:rsidR="00BA5E11" w:rsidRDefault="00C87577">
      <w:pPr>
        <w:pStyle w:val="TOC1"/>
        <w:rPr>
          <w:rFonts w:asciiTheme="minorHAnsi" w:eastAsiaTheme="minorEastAsia" w:hAnsiTheme="minorHAnsi" w:cstheme="minorBidi"/>
          <w:noProof/>
          <w:sz w:val="22"/>
          <w:szCs w:val="22"/>
        </w:rPr>
      </w:pPr>
      <w:hyperlink w:anchor="_Toc64534455" w:history="1">
        <w:r w:rsidR="00BA5E11" w:rsidRPr="00464DAB">
          <w:rPr>
            <w:rStyle w:val="Hyperlink"/>
            <w:rFonts w:cs="Calibri"/>
            <w:noProof/>
          </w:rPr>
          <w:t>XVI.</w:t>
        </w:r>
        <w:r w:rsidR="00BA5E11">
          <w:rPr>
            <w:rFonts w:asciiTheme="minorHAnsi" w:eastAsiaTheme="minorEastAsia" w:hAnsiTheme="minorHAnsi" w:cstheme="minorBidi"/>
            <w:noProof/>
            <w:sz w:val="22"/>
            <w:szCs w:val="22"/>
          </w:rPr>
          <w:tab/>
        </w:r>
        <w:r w:rsidR="00BA5E11" w:rsidRPr="00464DAB">
          <w:rPr>
            <w:rStyle w:val="Hyperlink"/>
            <w:rFonts w:ascii="Calibri" w:hAnsi="Calibri" w:cs="Calibri"/>
            <w:noProof/>
          </w:rPr>
          <w:t>OBAVEZE PREMA DRUŠTVU ZA UPRAVLJANJE</w:t>
        </w:r>
        <w:r w:rsidR="00BA5E11">
          <w:rPr>
            <w:noProof/>
            <w:webHidden/>
          </w:rPr>
          <w:tab/>
        </w:r>
        <w:r w:rsidR="00BA5E11">
          <w:rPr>
            <w:noProof/>
            <w:webHidden/>
          </w:rPr>
          <w:fldChar w:fldCharType="begin"/>
        </w:r>
        <w:r w:rsidR="00BA5E11">
          <w:rPr>
            <w:noProof/>
            <w:webHidden/>
          </w:rPr>
          <w:instrText xml:space="preserve"> PAGEREF _Toc64534455 \h </w:instrText>
        </w:r>
        <w:r w:rsidR="00BA5E11">
          <w:rPr>
            <w:noProof/>
            <w:webHidden/>
          </w:rPr>
        </w:r>
        <w:r w:rsidR="00BA5E11">
          <w:rPr>
            <w:noProof/>
            <w:webHidden/>
          </w:rPr>
          <w:fldChar w:fldCharType="separate"/>
        </w:r>
        <w:r w:rsidR="00BA5E11">
          <w:rPr>
            <w:noProof/>
            <w:webHidden/>
          </w:rPr>
          <w:t>23</w:t>
        </w:r>
        <w:r w:rsidR="00BA5E11">
          <w:rPr>
            <w:noProof/>
            <w:webHidden/>
          </w:rPr>
          <w:fldChar w:fldCharType="end"/>
        </w:r>
      </w:hyperlink>
    </w:p>
    <w:p w:rsidR="00BA5E11" w:rsidRDefault="00C87577">
      <w:pPr>
        <w:pStyle w:val="TOC1"/>
        <w:rPr>
          <w:rFonts w:asciiTheme="minorHAnsi" w:eastAsiaTheme="minorEastAsia" w:hAnsiTheme="minorHAnsi" w:cstheme="minorBidi"/>
          <w:noProof/>
          <w:sz w:val="22"/>
          <w:szCs w:val="22"/>
        </w:rPr>
      </w:pPr>
      <w:hyperlink w:anchor="_Toc64534456" w:history="1">
        <w:r w:rsidR="00BA5E11" w:rsidRPr="00464DAB">
          <w:rPr>
            <w:rStyle w:val="Hyperlink"/>
            <w:rFonts w:cs="Calibri"/>
            <w:noProof/>
          </w:rPr>
          <w:t>XVII.</w:t>
        </w:r>
        <w:r w:rsidR="00BA5E11">
          <w:rPr>
            <w:rFonts w:asciiTheme="minorHAnsi" w:eastAsiaTheme="minorEastAsia" w:hAnsiTheme="minorHAnsi" w:cstheme="minorBidi"/>
            <w:noProof/>
            <w:sz w:val="22"/>
            <w:szCs w:val="22"/>
          </w:rPr>
          <w:tab/>
        </w:r>
        <w:r w:rsidR="00BA5E11" w:rsidRPr="00464DAB">
          <w:rPr>
            <w:rStyle w:val="Hyperlink"/>
            <w:rFonts w:ascii="Calibri" w:hAnsi="Calibri" w:cs="Calibri"/>
            <w:noProof/>
          </w:rPr>
          <w:t>KAPITAL</w:t>
        </w:r>
        <w:r w:rsidR="00BA5E11">
          <w:rPr>
            <w:noProof/>
            <w:webHidden/>
          </w:rPr>
          <w:tab/>
        </w:r>
        <w:r w:rsidR="00BA5E11">
          <w:rPr>
            <w:noProof/>
            <w:webHidden/>
          </w:rPr>
          <w:fldChar w:fldCharType="begin"/>
        </w:r>
        <w:r w:rsidR="00BA5E11">
          <w:rPr>
            <w:noProof/>
            <w:webHidden/>
          </w:rPr>
          <w:instrText xml:space="preserve"> PAGEREF _Toc64534456 \h </w:instrText>
        </w:r>
        <w:r w:rsidR="00BA5E11">
          <w:rPr>
            <w:noProof/>
            <w:webHidden/>
          </w:rPr>
        </w:r>
        <w:r w:rsidR="00BA5E11">
          <w:rPr>
            <w:noProof/>
            <w:webHidden/>
          </w:rPr>
          <w:fldChar w:fldCharType="separate"/>
        </w:r>
        <w:r w:rsidR="00BA5E11">
          <w:rPr>
            <w:noProof/>
            <w:webHidden/>
          </w:rPr>
          <w:t>24</w:t>
        </w:r>
        <w:r w:rsidR="00BA5E11">
          <w:rPr>
            <w:noProof/>
            <w:webHidden/>
          </w:rPr>
          <w:fldChar w:fldCharType="end"/>
        </w:r>
      </w:hyperlink>
    </w:p>
    <w:p w:rsidR="00BA5E11" w:rsidRDefault="00C87577">
      <w:pPr>
        <w:pStyle w:val="TOC2"/>
        <w:rPr>
          <w:rFonts w:asciiTheme="minorHAnsi" w:eastAsiaTheme="minorEastAsia" w:hAnsiTheme="minorHAnsi" w:cstheme="minorBidi"/>
          <w:noProof/>
          <w:sz w:val="22"/>
          <w:szCs w:val="22"/>
        </w:rPr>
      </w:pPr>
      <w:hyperlink w:anchor="_Toc64534457" w:history="1">
        <w:r w:rsidR="00BA5E11" w:rsidRPr="00464DAB">
          <w:rPr>
            <w:rStyle w:val="Hyperlink"/>
            <w:rFonts w:ascii="Calibri" w:hAnsi="Calibri" w:cs="Calibri"/>
            <w:noProof/>
          </w:rPr>
          <w:t>1.</w:t>
        </w:r>
        <w:r w:rsidR="00BA5E11">
          <w:rPr>
            <w:rFonts w:asciiTheme="minorHAnsi" w:eastAsiaTheme="minorEastAsia" w:hAnsiTheme="minorHAnsi" w:cstheme="minorBidi"/>
            <w:noProof/>
            <w:sz w:val="22"/>
            <w:szCs w:val="22"/>
          </w:rPr>
          <w:tab/>
        </w:r>
        <w:r w:rsidR="00BA5E11" w:rsidRPr="00464DAB">
          <w:rPr>
            <w:rStyle w:val="Hyperlink"/>
            <w:rFonts w:ascii="Calibri" w:hAnsi="Calibri" w:cs="Calibri"/>
            <w:noProof/>
          </w:rPr>
          <w:t>Osnovni kapital- udjeli</w:t>
        </w:r>
        <w:r w:rsidR="00BA5E11">
          <w:rPr>
            <w:noProof/>
            <w:webHidden/>
          </w:rPr>
          <w:tab/>
        </w:r>
        <w:r w:rsidR="00BA5E11">
          <w:rPr>
            <w:noProof/>
            <w:webHidden/>
          </w:rPr>
          <w:fldChar w:fldCharType="begin"/>
        </w:r>
        <w:r w:rsidR="00BA5E11">
          <w:rPr>
            <w:noProof/>
            <w:webHidden/>
          </w:rPr>
          <w:instrText xml:space="preserve"> PAGEREF _Toc64534457 \h </w:instrText>
        </w:r>
        <w:r w:rsidR="00BA5E11">
          <w:rPr>
            <w:noProof/>
            <w:webHidden/>
          </w:rPr>
        </w:r>
        <w:r w:rsidR="00BA5E11">
          <w:rPr>
            <w:noProof/>
            <w:webHidden/>
          </w:rPr>
          <w:fldChar w:fldCharType="separate"/>
        </w:r>
        <w:r w:rsidR="00BA5E11">
          <w:rPr>
            <w:noProof/>
            <w:webHidden/>
          </w:rPr>
          <w:t>24</w:t>
        </w:r>
        <w:r w:rsidR="00BA5E11">
          <w:rPr>
            <w:noProof/>
            <w:webHidden/>
          </w:rPr>
          <w:fldChar w:fldCharType="end"/>
        </w:r>
      </w:hyperlink>
    </w:p>
    <w:p w:rsidR="00BA5E11" w:rsidRDefault="00C87577">
      <w:pPr>
        <w:pStyle w:val="TOC2"/>
        <w:rPr>
          <w:rFonts w:asciiTheme="minorHAnsi" w:eastAsiaTheme="minorEastAsia" w:hAnsiTheme="minorHAnsi" w:cstheme="minorBidi"/>
          <w:noProof/>
          <w:sz w:val="22"/>
          <w:szCs w:val="22"/>
        </w:rPr>
      </w:pPr>
      <w:hyperlink w:anchor="_Toc64534458" w:history="1">
        <w:r w:rsidR="00BA5E11" w:rsidRPr="00464DAB">
          <w:rPr>
            <w:rStyle w:val="Hyperlink"/>
            <w:rFonts w:ascii="Calibri" w:hAnsi="Calibri" w:cs="Calibri"/>
            <w:noProof/>
          </w:rPr>
          <w:t>2.</w:t>
        </w:r>
        <w:r w:rsidR="00BA5E11">
          <w:rPr>
            <w:rFonts w:asciiTheme="minorHAnsi" w:eastAsiaTheme="minorEastAsia" w:hAnsiTheme="minorHAnsi" w:cstheme="minorBidi"/>
            <w:noProof/>
            <w:sz w:val="22"/>
            <w:szCs w:val="22"/>
          </w:rPr>
          <w:tab/>
        </w:r>
        <w:r w:rsidR="00BA5E11" w:rsidRPr="00464DAB">
          <w:rPr>
            <w:rStyle w:val="Hyperlink"/>
            <w:rFonts w:ascii="Calibri" w:hAnsi="Calibri" w:cs="Calibri"/>
            <w:noProof/>
          </w:rPr>
          <w:t>Revalorizacione rezerve po osnovu finansijskih sredstava raspoloživih za prodaju</w:t>
        </w:r>
        <w:r w:rsidR="00BA5E11">
          <w:rPr>
            <w:noProof/>
            <w:webHidden/>
          </w:rPr>
          <w:tab/>
        </w:r>
        <w:r w:rsidR="00BA5E11">
          <w:rPr>
            <w:noProof/>
            <w:webHidden/>
          </w:rPr>
          <w:fldChar w:fldCharType="begin"/>
        </w:r>
        <w:r w:rsidR="00BA5E11">
          <w:rPr>
            <w:noProof/>
            <w:webHidden/>
          </w:rPr>
          <w:instrText xml:space="preserve"> PAGEREF _Toc64534458 \h </w:instrText>
        </w:r>
        <w:r w:rsidR="00BA5E11">
          <w:rPr>
            <w:noProof/>
            <w:webHidden/>
          </w:rPr>
        </w:r>
        <w:r w:rsidR="00BA5E11">
          <w:rPr>
            <w:noProof/>
            <w:webHidden/>
          </w:rPr>
          <w:fldChar w:fldCharType="separate"/>
        </w:r>
        <w:r w:rsidR="00BA5E11">
          <w:rPr>
            <w:noProof/>
            <w:webHidden/>
          </w:rPr>
          <w:t>24</w:t>
        </w:r>
        <w:r w:rsidR="00BA5E11">
          <w:rPr>
            <w:noProof/>
            <w:webHidden/>
          </w:rPr>
          <w:fldChar w:fldCharType="end"/>
        </w:r>
      </w:hyperlink>
    </w:p>
    <w:p w:rsidR="00BA5E11" w:rsidRDefault="00C87577">
      <w:pPr>
        <w:pStyle w:val="TOC2"/>
        <w:rPr>
          <w:rFonts w:asciiTheme="minorHAnsi" w:eastAsiaTheme="minorEastAsia" w:hAnsiTheme="minorHAnsi" w:cstheme="minorBidi"/>
          <w:noProof/>
          <w:sz w:val="22"/>
          <w:szCs w:val="22"/>
        </w:rPr>
      </w:pPr>
      <w:hyperlink w:anchor="_Toc64534459" w:history="1">
        <w:r w:rsidR="00BA5E11" w:rsidRPr="00464DAB">
          <w:rPr>
            <w:rStyle w:val="Hyperlink"/>
            <w:rFonts w:ascii="Calibri" w:hAnsi="Calibri" w:cs="Calibri"/>
            <w:noProof/>
          </w:rPr>
          <w:t>3.</w:t>
        </w:r>
        <w:r w:rsidR="00BA5E11">
          <w:rPr>
            <w:rFonts w:asciiTheme="minorHAnsi" w:eastAsiaTheme="minorEastAsia" w:hAnsiTheme="minorHAnsi" w:cstheme="minorBidi"/>
            <w:noProof/>
            <w:sz w:val="22"/>
            <w:szCs w:val="22"/>
          </w:rPr>
          <w:tab/>
        </w:r>
        <w:r w:rsidR="00BA5E11" w:rsidRPr="00464DAB">
          <w:rPr>
            <w:rStyle w:val="Hyperlink"/>
            <w:rFonts w:ascii="Calibri" w:hAnsi="Calibri" w:cs="Calibri"/>
            <w:noProof/>
          </w:rPr>
          <w:t>Nerealizovani dobici/gubici po osnovu finansijskih sredstava vrednovanih po fer vrijednosti kroz bilans uspjeha</w:t>
        </w:r>
        <w:r w:rsidR="00BA5E11">
          <w:rPr>
            <w:noProof/>
            <w:webHidden/>
          </w:rPr>
          <w:tab/>
        </w:r>
        <w:r w:rsidR="00BA5E11">
          <w:rPr>
            <w:noProof/>
            <w:webHidden/>
          </w:rPr>
          <w:fldChar w:fldCharType="begin"/>
        </w:r>
        <w:r w:rsidR="00BA5E11">
          <w:rPr>
            <w:noProof/>
            <w:webHidden/>
          </w:rPr>
          <w:instrText xml:space="preserve"> PAGEREF _Toc64534459 \h </w:instrText>
        </w:r>
        <w:r w:rsidR="00BA5E11">
          <w:rPr>
            <w:noProof/>
            <w:webHidden/>
          </w:rPr>
        </w:r>
        <w:r w:rsidR="00BA5E11">
          <w:rPr>
            <w:noProof/>
            <w:webHidden/>
          </w:rPr>
          <w:fldChar w:fldCharType="separate"/>
        </w:r>
        <w:r w:rsidR="00BA5E11">
          <w:rPr>
            <w:noProof/>
            <w:webHidden/>
          </w:rPr>
          <w:t>24</w:t>
        </w:r>
        <w:r w:rsidR="00BA5E11">
          <w:rPr>
            <w:noProof/>
            <w:webHidden/>
          </w:rPr>
          <w:fldChar w:fldCharType="end"/>
        </w:r>
      </w:hyperlink>
    </w:p>
    <w:p w:rsidR="00BA5E11" w:rsidRDefault="00C87577">
      <w:pPr>
        <w:pStyle w:val="TOC1"/>
        <w:rPr>
          <w:rFonts w:asciiTheme="minorHAnsi" w:eastAsiaTheme="minorEastAsia" w:hAnsiTheme="minorHAnsi" w:cstheme="minorBidi"/>
          <w:noProof/>
          <w:sz w:val="22"/>
          <w:szCs w:val="22"/>
        </w:rPr>
      </w:pPr>
      <w:hyperlink w:anchor="_Toc64534460" w:history="1">
        <w:r w:rsidR="00BA5E11" w:rsidRPr="00464DAB">
          <w:rPr>
            <w:rStyle w:val="Hyperlink"/>
            <w:rFonts w:cs="Calibri"/>
            <w:noProof/>
          </w:rPr>
          <w:t>XVIII.</w:t>
        </w:r>
        <w:r w:rsidR="00BA5E11">
          <w:rPr>
            <w:rFonts w:asciiTheme="minorHAnsi" w:eastAsiaTheme="minorEastAsia" w:hAnsiTheme="minorHAnsi" w:cstheme="minorBidi"/>
            <w:noProof/>
            <w:sz w:val="22"/>
            <w:szCs w:val="22"/>
          </w:rPr>
          <w:tab/>
        </w:r>
        <w:r w:rsidR="00BA5E11" w:rsidRPr="00464DAB">
          <w:rPr>
            <w:rStyle w:val="Hyperlink"/>
            <w:rFonts w:ascii="Calibri" w:hAnsi="Calibri" w:cs="Calibri"/>
            <w:noProof/>
          </w:rPr>
          <w:t>ZARADA / (GUBITAK) PO UDJELU</w:t>
        </w:r>
        <w:r w:rsidR="00BA5E11">
          <w:rPr>
            <w:noProof/>
            <w:webHidden/>
          </w:rPr>
          <w:tab/>
        </w:r>
        <w:r w:rsidR="00BA5E11">
          <w:rPr>
            <w:noProof/>
            <w:webHidden/>
          </w:rPr>
          <w:fldChar w:fldCharType="begin"/>
        </w:r>
        <w:r w:rsidR="00BA5E11">
          <w:rPr>
            <w:noProof/>
            <w:webHidden/>
          </w:rPr>
          <w:instrText xml:space="preserve"> PAGEREF _Toc64534460 \h </w:instrText>
        </w:r>
        <w:r w:rsidR="00BA5E11">
          <w:rPr>
            <w:noProof/>
            <w:webHidden/>
          </w:rPr>
        </w:r>
        <w:r w:rsidR="00BA5E11">
          <w:rPr>
            <w:noProof/>
            <w:webHidden/>
          </w:rPr>
          <w:fldChar w:fldCharType="separate"/>
        </w:r>
        <w:r w:rsidR="00BA5E11">
          <w:rPr>
            <w:noProof/>
            <w:webHidden/>
          </w:rPr>
          <w:t>24</w:t>
        </w:r>
        <w:r w:rsidR="00BA5E11">
          <w:rPr>
            <w:noProof/>
            <w:webHidden/>
          </w:rPr>
          <w:fldChar w:fldCharType="end"/>
        </w:r>
      </w:hyperlink>
    </w:p>
    <w:p w:rsidR="00BA5E11" w:rsidRDefault="00C87577">
      <w:pPr>
        <w:pStyle w:val="TOC1"/>
        <w:rPr>
          <w:rFonts w:asciiTheme="minorHAnsi" w:eastAsiaTheme="minorEastAsia" w:hAnsiTheme="minorHAnsi" w:cstheme="minorBidi"/>
          <w:noProof/>
          <w:sz w:val="22"/>
          <w:szCs w:val="22"/>
        </w:rPr>
      </w:pPr>
      <w:hyperlink w:anchor="_Toc64534461" w:history="1">
        <w:r w:rsidR="00BA5E11" w:rsidRPr="00464DAB">
          <w:rPr>
            <w:rStyle w:val="Hyperlink"/>
            <w:rFonts w:cs="Calibri"/>
            <w:noProof/>
          </w:rPr>
          <w:t>XIX.</w:t>
        </w:r>
        <w:r w:rsidR="00BA5E11">
          <w:rPr>
            <w:rFonts w:asciiTheme="minorHAnsi" w:eastAsiaTheme="minorEastAsia" w:hAnsiTheme="minorHAnsi" w:cstheme="minorBidi"/>
            <w:noProof/>
            <w:sz w:val="22"/>
            <w:szCs w:val="22"/>
          </w:rPr>
          <w:tab/>
        </w:r>
        <w:r w:rsidR="00BA5E11" w:rsidRPr="00464DAB">
          <w:rPr>
            <w:rStyle w:val="Hyperlink"/>
            <w:rFonts w:ascii="Calibri" w:hAnsi="Calibri" w:cs="Calibri"/>
            <w:noProof/>
          </w:rPr>
          <w:t>TRANSAKCIJE SA POVEZANIM LICIMA</w:t>
        </w:r>
        <w:r w:rsidR="00BA5E11">
          <w:rPr>
            <w:noProof/>
            <w:webHidden/>
          </w:rPr>
          <w:tab/>
        </w:r>
        <w:r w:rsidR="00BA5E11">
          <w:rPr>
            <w:noProof/>
            <w:webHidden/>
          </w:rPr>
          <w:fldChar w:fldCharType="begin"/>
        </w:r>
        <w:r w:rsidR="00BA5E11">
          <w:rPr>
            <w:noProof/>
            <w:webHidden/>
          </w:rPr>
          <w:instrText xml:space="preserve"> PAGEREF _Toc64534461 \h </w:instrText>
        </w:r>
        <w:r w:rsidR="00BA5E11">
          <w:rPr>
            <w:noProof/>
            <w:webHidden/>
          </w:rPr>
        </w:r>
        <w:r w:rsidR="00BA5E11">
          <w:rPr>
            <w:noProof/>
            <w:webHidden/>
          </w:rPr>
          <w:fldChar w:fldCharType="separate"/>
        </w:r>
        <w:r w:rsidR="00BA5E11">
          <w:rPr>
            <w:noProof/>
            <w:webHidden/>
          </w:rPr>
          <w:t>25</w:t>
        </w:r>
        <w:r w:rsidR="00BA5E11">
          <w:rPr>
            <w:noProof/>
            <w:webHidden/>
          </w:rPr>
          <w:fldChar w:fldCharType="end"/>
        </w:r>
      </w:hyperlink>
    </w:p>
    <w:p w:rsidR="00BA5E11" w:rsidRDefault="00C87577">
      <w:pPr>
        <w:pStyle w:val="TOC1"/>
        <w:rPr>
          <w:rFonts w:asciiTheme="minorHAnsi" w:eastAsiaTheme="minorEastAsia" w:hAnsiTheme="minorHAnsi" w:cstheme="minorBidi"/>
          <w:noProof/>
          <w:sz w:val="22"/>
          <w:szCs w:val="22"/>
        </w:rPr>
      </w:pPr>
      <w:hyperlink w:anchor="_Toc64534462" w:history="1">
        <w:r w:rsidR="00BA5E11" w:rsidRPr="00464DAB">
          <w:rPr>
            <w:rStyle w:val="Hyperlink"/>
            <w:rFonts w:cs="Calibri"/>
            <w:noProof/>
          </w:rPr>
          <w:t>XX.</w:t>
        </w:r>
        <w:r w:rsidR="00BA5E11">
          <w:rPr>
            <w:rFonts w:asciiTheme="minorHAnsi" w:eastAsiaTheme="minorEastAsia" w:hAnsiTheme="minorHAnsi" w:cstheme="minorBidi"/>
            <w:noProof/>
            <w:sz w:val="22"/>
            <w:szCs w:val="22"/>
          </w:rPr>
          <w:tab/>
        </w:r>
        <w:r w:rsidR="00BA5E11" w:rsidRPr="00464DAB">
          <w:rPr>
            <w:rStyle w:val="Hyperlink"/>
            <w:rFonts w:ascii="Calibri" w:hAnsi="Calibri" w:cs="Calibri"/>
            <w:noProof/>
          </w:rPr>
          <w:t>SUDSKI SPOROVI</w:t>
        </w:r>
        <w:r w:rsidR="00BA5E11">
          <w:rPr>
            <w:noProof/>
            <w:webHidden/>
          </w:rPr>
          <w:tab/>
        </w:r>
        <w:r w:rsidR="00BA5E11">
          <w:rPr>
            <w:noProof/>
            <w:webHidden/>
          </w:rPr>
          <w:fldChar w:fldCharType="begin"/>
        </w:r>
        <w:r w:rsidR="00BA5E11">
          <w:rPr>
            <w:noProof/>
            <w:webHidden/>
          </w:rPr>
          <w:instrText xml:space="preserve"> PAGEREF _Toc64534462 \h </w:instrText>
        </w:r>
        <w:r w:rsidR="00BA5E11">
          <w:rPr>
            <w:noProof/>
            <w:webHidden/>
          </w:rPr>
        </w:r>
        <w:r w:rsidR="00BA5E11">
          <w:rPr>
            <w:noProof/>
            <w:webHidden/>
          </w:rPr>
          <w:fldChar w:fldCharType="separate"/>
        </w:r>
        <w:r w:rsidR="00BA5E11">
          <w:rPr>
            <w:noProof/>
            <w:webHidden/>
          </w:rPr>
          <w:t>26</w:t>
        </w:r>
        <w:r w:rsidR="00BA5E11">
          <w:rPr>
            <w:noProof/>
            <w:webHidden/>
          </w:rPr>
          <w:fldChar w:fldCharType="end"/>
        </w:r>
      </w:hyperlink>
    </w:p>
    <w:p w:rsidR="00BA5E11" w:rsidRDefault="00C87577">
      <w:pPr>
        <w:pStyle w:val="TOC1"/>
        <w:rPr>
          <w:rFonts w:asciiTheme="minorHAnsi" w:eastAsiaTheme="minorEastAsia" w:hAnsiTheme="minorHAnsi" w:cstheme="minorBidi"/>
          <w:noProof/>
          <w:sz w:val="22"/>
          <w:szCs w:val="22"/>
        </w:rPr>
      </w:pPr>
      <w:hyperlink w:anchor="_Toc64534463" w:history="1">
        <w:r w:rsidR="00BA5E11" w:rsidRPr="00464DAB">
          <w:rPr>
            <w:rStyle w:val="Hyperlink"/>
            <w:rFonts w:cs="Calibri"/>
            <w:noProof/>
          </w:rPr>
          <w:t>XXI.</w:t>
        </w:r>
        <w:r w:rsidR="00BA5E11">
          <w:rPr>
            <w:rFonts w:asciiTheme="minorHAnsi" w:eastAsiaTheme="minorEastAsia" w:hAnsiTheme="minorHAnsi" w:cstheme="minorBidi"/>
            <w:noProof/>
            <w:sz w:val="22"/>
            <w:szCs w:val="22"/>
          </w:rPr>
          <w:tab/>
        </w:r>
        <w:r w:rsidR="00BA5E11" w:rsidRPr="00464DAB">
          <w:rPr>
            <w:rStyle w:val="Hyperlink"/>
            <w:rFonts w:ascii="Calibri" w:hAnsi="Calibri" w:cs="Calibri"/>
            <w:noProof/>
          </w:rPr>
          <w:t>TEKUĆA EKONOMSKA SITUACIJA I NJEN UTICAJ NA POSLOVANJE</w:t>
        </w:r>
        <w:r w:rsidR="00BA5E11">
          <w:rPr>
            <w:noProof/>
            <w:webHidden/>
          </w:rPr>
          <w:tab/>
        </w:r>
        <w:r w:rsidR="00BA5E11">
          <w:rPr>
            <w:noProof/>
            <w:webHidden/>
          </w:rPr>
          <w:fldChar w:fldCharType="begin"/>
        </w:r>
        <w:r w:rsidR="00BA5E11">
          <w:rPr>
            <w:noProof/>
            <w:webHidden/>
          </w:rPr>
          <w:instrText xml:space="preserve"> PAGEREF _Toc64534463 \h </w:instrText>
        </w:r>
        <w:r w:rsidR="00BA5E11">
          <w:rPr>
            <w:noProof/>
            <w:webHidden/>
          </w:rPr>
        </w:r>
        <w:r w:rsidR="00BA5E11">
          <w:rPr>
            <w:noProof/>
            <w:webHidden/>
          </w:rPr>
          <w:fldChar w:fldCharType="separate"/>
        </w:r>
        <w:r w:rsidR="00BA5E11">
          <w:rPr>
            <w:noProof/>
            <w:webHidden/>
          </w:rPr>
          <w:t>26</w:t>
        </w:r>
        <w:r w:rsidR="00BA5E11">
          <w:rPr>
            <w:noProof/>
            <w:webHidden/>
          </w:rPr>
          <w:fldChar w:fldCharType="end"/>
        </w:r>
      </w:hyperlink>
    </w:p>
    <w:p w:rsidR="00BA5E11" w:rsidRDefault="00C87577">
      <w:pPr>
        <w:pStyle w:val="TOC1"/>
        <w:rPr>
          <w:rFonts w:asciiTheme="minorHAnsi" w:eastAsiaTheme="minorEastAsia" w:hAnsiTheme="minorHAnsi" w:cstheme="minorBidi"/>
          <w:noProof/>
          <w:sz w:val="22"/>
          <w:szCs w:val="22"/>
        </w:rPr>
      </w:pPr>
      <w:hyperlink w:anchor="_Toc64534464" w:history="1">
        <w:r w:rsidR="00BA5E11" w:rsidRPr="00464DAB">
          <w:rPr>
            <w:rStyle w:val="Hyperlink"/>
            <w:rFonts w:cs="Calibri"/>
            <w:noProof/>
          </w:rPr>
          <w:t>XXII.</w:t>
        </w:r>
        <w:r w:rsidR="00BA5E11">
          <w:rPr>
            <w:rFonts w:asciiTheme="minorHAnsi" w:eastAsiaTheme="minorEastAsia" w:hAnsiTheme="minorHAnsi" w:cstheme="minorBidi"/>
            <w:noProof/>
            <w:sz w:val="22"/>
            <w:szCs w:val="22"/>
          </w:rPr>
          <w:tab/>
        </w:r>
        <w:r w:rsidR="00BA5E11" w:rsidRPr="00464DAB">
          <w:rPr>
            <w:rStyle w:val="Hyperlink"/>
            <w:rFonts w:ascii="Calibri" w:hAnsi="Calibri" w:cs="Calibri"/>
            <w:noProof/>
          </w:rPr>
          <w:t>DEVIZNI KURSEVI</w:t>
        </w:r>
        <w:r w:rsidR="00BA5E11">
          <w:rPr>
            <w:noProof/>
            <w:webHidden/>
          </w:rPr>
          <w:tab/>
        </w:r>
        <w:r w:rsidR="00BA5E11">
          <w:rPr>
            <w:noProof/>
            <w:webHidden/>
          </w:rPr>
          <w:fldChar w:fldCharType="begin"/>
        </w:r>
        <w:r w:rsidR="00BA5E11">
          <w:rPr>
            <w:noProof/>
            <w:webHidden/>
          </w:rPr>
          <w:instrText xml:space="preserve"> PAGEREF _Toc64534464 \h </w:instrText>
        </w:r>
        <w:r w:rsidR="00BA5E11">
          <w:rPr>
            <w:noProof/>
            <w:webHidden/>
          </w:rPr>
        </w:r>
        <w:r w:rsidR="00BA5E11">
          <w:rPr>
            <w:noProof/>
            <w:webHidden/>
          </w:rPr>
          <w:fldChar w:fldCharType="separate"/>
        </w:r>
        <w:r w:rsidR="00BA5E11">
          <w:rPr>
            <w:noProof/>
            <w:webHidden/>
          </w:rPr>
          <w:t>26</w:t>
        </w:r>
        <w:r w:rsidR="00BA5E11">
          <w:rPr>
            <w:noProof/>
            <w:webHidden/>
          </w:rPr>
          <w:fldChar w:fldCharType="end"/>
        </w:r>
      </w:hyperlink>
    </w:p>
    <w:p w:rsidR="00BA5E11" w:rsidRDefault="00C87577">
      <w:pPr>
        <w:pStyle w:val="TOC1"/>
        <w:rPr>
          <w:rFonts w:asciiTheme="minorHAnsi" w:eastAsiaTheme="minorEastAsia" w:hAnsiTheme="minorHAnsi" w:cstheme="minorBidi"/>
          <w:noProof/>
          <w:sz w:val="22"/>
          <w:szCs w:val="22"/>
        </w:rPr>
      </w:pPr>
      <w:hyperlink w:anchor="_Toc64534465" w:history="1">
        <w:r w:rsidR="00BA5E11" w:rsidRPr="00464DAB">
          <w:rPr>
            <w:rStyle w:val="Hyperlink"/>
            <w:rFonts w:cstheme="minorHAnsi"/>
            <w:noProof/>
          </w:rPr>
          <w:t>XXIII.</w:t>
        </w:r>
        <w:r w:rsidR="00BA5E11">
          <w:rPr>
            <w:rFonts w:asciiTheme="minorHAnsi" w:eastAsiaTheme="minorEastAsia" w:hAnsiTheme="minorHAnsi" w:cstheme="minorBidi"/>
            <w:noProof/>
            <w:sz w:val="22"/>
            <w:szCs w:val="22"/>
          </w:rPr>
          <w:tab/>
        </w:r>
        <w:r w:rsidR="00BA5E11" w:rsidRPr="00464DAB">
          <w:rPr>
            <w:rStyle w:val="Hyperlink"/>
            <w:rFonts w:cstheme="minorHAnsi"/>
            <w:noProof/>
          </w:rPr>
          <w:t>FINANSIJSKI INSTRUMENTI</w:t>
        </w:r>
        <w:r w:rsidR="00BA5E11">
          <w:rPr>
            <w:noProof/>
            <w:webHidden/>
          </w:rPr>
          <w:tab/>
        </w:r>
        <w:r w:rsidR="00BA5E11">
          <w:rPr>
            <w:noProof/>
            <w:webHidden/>
          </w:rPr>
          <w:fldChar w:fldCharType="begin"/>
        </w:r>
        <w:r w:rsidR="00BA5E11">
          <w:rPr>
            <w:noProof/>
            <w:webHidden/>
          </w:rPr>
          <w:instrText xml:space="preserve"> PAGEREF _Toc64534465 \h </w:instrText>
        </w:r>
        <w:r w:rsidR="00BA5E11">
          <w:rPr>
            <w:noProof/>
            <w:webHidden/>
          </w:rPr>
        </w:r>
        <w:r w:rsidR="00BA5E11">
          <w:rPr>
            <w:noProof/>
            <w:webHidden/>
          </w:rPr>
          <w:fldChar w:fldCharType="separate"/>
        </w:r>
        <w:r w:rsidR="00BA5E11">
          <w:rPr>
            <w:noProof/>
            <w:webHidden/>
          </w:rPr>
          <w:t>27</w:t>
        </w:r>
        <w:r w:rsidR="00BA5E11">
          <w:rPr>
            <w:noProof/>
            <w:webHidden/>
          </w:rPr>
          <w:fldChar w:fldCharType="end"/>
        </w:r>
      </w:hyperlink>
    </w:p>
    <w:p w:rsidR="00B64A52" w:rsidRPr="00A47E7E" w:rsidRDefault="000C1413" w:rsidP="0033169F">
      <w:pPr>
        <w:jc w:val="both"/>
        <w:rPr>
          <w:rFonts w:ascii="Calibri" w:hAnsi="Calibri" w:cs="Calibri"/>
        </w:rPr>
      </w:pPr>
      <w:r w:rsidRPr="00A47E7E">
        <w:rPr>
          <w:rFonts w:ascii="Calibri" w:hAnsi="Calibri" w:cs="Calibri"/>
        </w:rPr>
        <w:fldChar w:fldCharType="end"/>
      </w:r>
    </w:p>
    <w:p w:rsidR="00B64A52" w:rsidRPr="00A47E7E" w:rsidRDefault="00B64A52">
      <w:pPr>
        <w:rPr>
          <w:rFonts w:ascii="Calibri" w:hAnsi="Calibri" w:cs="Calibri"/>
          <w:lang w:val="sr-Latn-CS"/>
        </w:rPr>
      </w:pPr>
    </w:p>
    <w:p w:rsidR="00CC43D6" w:rsidRPr="00A47E7E" w:rsidRDefault="009B07B4" w:rsidP="00B64A52">
      <w:pPr>
        <w:pStyle w:val="Heading1"/>
        <w:rPr>
          <w:rFonts w:ascii="Calibri" w:hAnsi="Calibri" w:cs="Calibri"/>
          <w:sz w:val="24"/>
          <w:szCs w:val="24"/>
          <w:lang w:val="sr-Cyrl-CS"/>
        </w:rPr>
      </w:pPr>
      <w:bookmarkStart w:id="0" w:name="_Toc506560330"/>
      <w:bookmarkStart w:id="1" w:name="_Toc64534427"/>
      <w:r w:rsidRPr="00A47E7E">
        <w:rPr>
          <w:rFonts w:ascii="Calibri" w:hAnsi="Calibri" w:cs="Calibri"/>
          <w:sz w:val="24"/>
          <w:szCs w:val="24"/>
        </w:rPr>
        <w:lastRenderedPageBreak/>
        <w:t>OSNIVANJE</w:t>
      </w:r>
      <w:r w:rsidRPr="00A47E7E">
        <w:rPr>
          <w:rFonts w:ascii="Calibri" w:hAnsi="Calibri" w:cs="Calibri"/>
          <w:sz w:val="24"/>
          <w:szCs w:val="24"/>
          <w:lang w:val="sr-Latn-CS"/>
        </w:rPr>
        <w:t xml:space="preserve"> I DJELATNOST</w:t>
      </w:r>
      <w:bookmarkEnd w:id="0"/>
      <w:bookmarkEnd w:id="1"/>
      <w:r w:rsidR="008E2954" w:rsidRPr="00A47E7E">
        <w:rPr>
          <w:rFonts w:ascii="Calibri" w:hAnsi="Calibri" w:cs="Calibri"/>
          <w:sz w:val="24"/>
          <w:szCs w:val="24"/>
          <w:lang w:val="sr-Latn-CS"/>
        </w:rPr>
        <w:t xml:space="preserve"> </w:t>
      </w:r>
    </w:p>
    <w:p w:rsidR="00B82DA0" w:rsidRPr="00A47E7E" w:rsidRDefault="00F64D1D" w:rsidP="00B82DA0">
      <w:pPr>
        <w:ind w:firstLine="270"/>
        <w:jc w:val="both"/>
        <w:rPr>
          <w:rFonts w:ascii="Calibri" w:hAnsi="Calibri" w:cs="Calibri"/>
          <w:lang w:val="hr-HR"/>
        </w:rPr>
      </w:pPr>
      <w:r w:rsidRPr="00405F4C">
        <w:rPr>
          <w:rFonts w:ascii="Calibri" w:hAnsi="Calibri" w:cs="Calibri"/>
          <w:lang w:val="hr-HR"/>
        </w:rPr>
        <w:t xml:space="preserve">Riješenjem Komisije za hartije od vrijednosti Republike Srpske Broj: </w:t>
      </w:r>
      <w:r w:rsidR="00405F4C">
        <w:rPr>
          <w:rFonts w:ascii="Calibri" w:hAnsi="Calibri" w:cs="Calibri"/>
          <w:lang w:val="hr-HR"/>
        </w:rPr>
        <w:t>01-UP-51-445-8/18 od 12.10.2018.god. odobreno je potpuno</w:t>
      </w:r>
      <w:r w:rsidRPr="00405F4C">
        <w:rPr>
          <w:rFonts w:ascii="Calibri" w:hAnsi="Calibri" w:cs="Calibri"/>
          <w:lang w:val="hr-HR"/>
        </w:rPr>
        <w:t xml:space="preserve"> preoblikovanje ZMI</w:t>
      </w:r>
      <w:r w:rsidR="00665200" w:rsidRPr="00405F4C">
        <w:rPr>
          <w:rFonts w:ascii="Calibri" w:hAnsi="Calibri" w:cs="Calibri"/>
          <w:lang w:val="hr-HR"/>
        </w:rPr>
        <w:t>F-a u preoblikovanju Kristal invest fond</w:t>
      </w:r>
      <w:r w:rsidRPr="00405F4C">
        <w:rPr>
          <w:rFonts w:ascii="Calibri" w:hAnsi="Calibri" w:cs="Calibri"/>
          <w:lang w:val="hr-HR"/>
        </w:rPr>
        <w:t xml:space="preserve"> ad Banja Luka. Dati</w:t>
      </w:r>
      <w:r w:rsidR="00B82DA0">
        <w:rPr>
          <w:rFonts w:ascii="Calibri" w:hAnsi="Calibri" w:cs="Calibri"/>
          <w:lang w:val="hr-HR"/>
        </w:rPr>
        <w:t xml:space="preserve">m riješenjem Društvu je odobren prenos </w:t>
      </w:r>
      <w:r w:rsidRPr="00405F4C">
        <w:rPr>
          <w:rFonts w:ascii="Calibri" w:hAnsi="Calibri" w:cs="Calibri"/>
          <w:lang w:val="hr-HR"/>
        </w:rPr>
        <w:t>imovine rad</w:t>
      </w:r>
      <w:r w:rsidR="00665200" w:rsidRPr="00405F4C">
        <w:rPr>
          <w:rFonts w:ascii="Calibri" w:hAnsi="Calibri" w:cs="Calibri"/>
          <w:lang w:val="hr-HR"/>
        </w:rPr>
        <w:t xml:space="preserve">i osnivanja Otvorenog </w:t>
      </w:r>
      <w:r w:rsidR="00B82DA0">
        <w:rPr>
          <w:rFonts w:ascii="Calibri" w:hAnsi="Calibri" w:cs="Calibri"/>
          <w:lang w:val="hr-HR"/>
        </w:rPr>
        <w:t>nočanog</w:t>
      </w:r>
      <w:r w:rsidRPr="00405F4C">
        <w:rPr>
          <w:rFonts w:ascii="Calibri" w:hAnsi="Calibri" w:cs="Calibri"/>
          <w:lang w:val="hr-HR"/>
        </w:rPr>
        <w:t xml:space="preserve"> investicionog fonda </w:t>
      </w:r>
      <w:r w:rsidR="00B82DA0">
        <w:rPr>
          <w:rFonts w:ascii="Calibri" w:hAnsi="Calibri" w:cs="Calibri"/>
          <w:lang w:val="hr-HR"/>
        </w:rPr>
        <w:t>Cash</w:t>
      </w:r>
      <w:r w:rsidR="00665200" w:rsidRPr="00405F4C">
        <w:rPr>
          <w:rFonts w:ascii="Calibri" w:hAnsi="Calibri" w:cs="Calibri"/>
          <w:lang w:val="hr-HR"/>
        </w:rPr>
        <w:t xml:space="preserve"> fund </w:t>
      </w:r>
      <w:r w:rsidRPr="00405F4C">
        <w:rPr>
          <w:rFonts w:ascii="Calibri" w:hAnsi="Calibri" w:cs="Calibri"/>
          <w:lang w:val="hr-HR"/>
        </w:rPr>
        <w:t xml:space="preserve">u skladu sa Odlukom o </w:t>
      </w:r>
      <w:r w:rsidR="00405F4C">
        <w:rPr>
          <w:rFonts w:ascii="Calibri" w:hAnsi="Calibri" w:cs="Calibri"/>
          <w:lang w:val="hr-HR"/>
        </w:rPr>
        <w:t>potpunom</w:t>
      </w:r>
      <w:r w:rsidRPr="00405F4C">
        <w:rPr>
          <w:rFonts w:ascii="Calibri" w:hAnsi="Calibri" w:cs="Calibri"/>
          <w:lang w:val="hr-HR"/>
        </w:rPr>
        <w:t xml:space="preserve"> preoblikovanju ZMIF-a u preoblikovanju </w:t>
      </w:r>
      <w:r w:rsidR="00665200" w:rsidRPr="00405F4C">
        <w:rPr>
          <w:rFonts w:ascii="Calibri" w:hAnsi="Calibri" w:cs="Calibri"/>
          <w:lang w:val="hr-HR"/>
        </w:rPr>
        <w:t>Kristal invest fond</w:t>
      </w:r>
      <w:r w:rsidRPr="00405F4C">
        <w:rPr>
          <w:rFonts w:ascii="Calibri" w:hAnsi="Calibri" w:cs="Calibri"/>
          <w:lang w:val="hr-HR"/>
        </w:rPr>
        <w:t xml:space="preserve"> ad Banja Luka (prečišćen tekst) broj </w:t>
      </w:r>
      <w:r w:rsidR="00405F4C">
        <w:rPr>
          <w:rFonts w:ascii="Calibri" w:hAnsi="Calibri" w:cs="Calibri"/>
          <w:lang w:val="hr-HR"/>
        </w:rPr>
        <w:t>220-SKZMIF/18 od 29.06.2018.</w:t>
      </w:r>
      <w:r w:rsidR="00B82DA0">
        <w:rPr>
          <w:rFonts w:ascii="Calibri" w:hAnsi="Calibri" w:cs="Calibri"/>
          <w:lang w:val="hr-HR"/>
        </w:rPr>
        <w:t>god.</w:t>
      </w:r>
    </w:p>
    <w:p w:rsidR="00F64D1D" w:rsidRPr="00A47E7E" w:rsidRDefault="00405F4C" w:rsidP="00F64D1D">
      <w:pPr>
        <w:ind w:firstLine="270"/>
        <w:jc w:val="both"/>
        <w:rPr>
          <w:rFonts w:ascii="Calibri" w:hAnsi="Calibri" w:cs="Calibri"/>
          <w:lang w:val="hr-HR"/>
        </w:rPr>
      </w:pPr>
      <w:r>
        <w:rPr>
          <w:rFonts w:ascii="Calibri" w:hAnsi="Calibri" w:cs="Calibri"/>
          <w:lang w:val="hr-HR"/>
        </w:rPr>
        <w:t>Dana 23.11.2018</w:t>
      </w:r>
      <w:r w:rsidR="00F64D1D" w:rsidRPr="00A47E7E">
        <w:rPr>
          <w:rFonts w:ascii="Calibri" w:hAnsi="Calibri" w:cs="Calibri"/>
          <w:lang w:val="hr-HR"/>
        </w:rPr>
        <w:t>. godine Centralni registar hartija od vrijednosti izvršio je registraciju hartija od vrijednosti - udio u otvorenom investicionom fondu, prva emisija-osnivanje otvor</w:t>
      </w:r>
      <w:r w:rsidR="00665200">
        <w:rPr>
          <w:rFonts w:ascii="Calibri" w:hAnsi="Calibri" w:cs="Calibri"/>
          <w:lang w:val="hr-HR"/>
        </w:rPr>
        <w:t xml:space="preserve">enog investicionog fonda </w:t>
      </w:r>
      <w:r>
        <w:rPr>
          <w:rFonts w:ascii="Calibri" w:hAnsi="Calibri" w:cs="Calibri"/>
          <w:lang w:val="hr-HR"/>
        </w:rPr>
        <w:t>Cash</w:t>
      </w:r>
      <w:r w:rsidR="00F64D1D" w:rsidRPr="00A47E7E">
        <w:rPr>
          <w:rFonts w:ascii="Calibri" w:hAnsi="Calibri" w:cs="Calibri"/>
          <w:lang w:val="hr-HR"/>
        </w:rPr>
        <w:t xml:space="preserve"> fund Banja Luka. Udjeli su registrovani kod Komisije za hartije od vrijednosti Republike Srpske po</w:t>
      </w:r>
      <w:r w:rsidR="00B82DA0">
        <w:rPr>
          <w:rFonts w:ascii="Calibri" w:hAnsi="Calibri" w:cs="Calibri"/>
          <w:lang w:val="hr-HR"/>
        </w:rPr>
        <w:t>d identifikacionim brojem JP-N</w:t>
      </w:r>
      <w:r>
        <w:rPr>
          <w:rFonts w:ascii="Calibri" w:hAnsi="Calibri" w:cs="Calibri"/>
          <w:lang w:val="hr-HR"/>
        </w:rPr>
        <w:t>-21</w:t>
      </w:r>
      <w:r w:rsidR="00F64D1D" w:rsidRPr="00A47E7E">
        <w:rPr>
          <w:rFonts w:ascii="Calibri" w:hAnsi="Calibri" w:cs="Calibri"/>
          <w:lang w:val="hr-HR"/>
        </w:rPr>
        <w:t xml:space="preserve">. Nakon upisa prve emisije,udjeli fonda nose oznaku </w:t>
      </w:r>
      <w:r>
        <w:rPr>
          <w:rFonts w:ascii="Calibri" w:hAnsi="Calibri" w:cs="Calibri"/>
          <w:lang w:val="sr-Latn-CS"/>
        </w:rPr>
        <w:t>CSHP</w:t>
      </w:r>
      <w:r w:rsidR="00F64D1D" w:rsidRPr="00A47E7E">
        <w:rPr>
          <w:rFonts w:ascii="Calibri" w:hAnsi="Calibri" w:cs="Calibri"/>
          <w:lang w:val="sr-Latn-CS"/>
        </w:rPr>
        <w:t xml:space="preserve">-U-A, a od </w:t>
      </w:r>
      <w:r w:rsidR="00B82DA0" w:rsidRPr="00B82DA0">
        <w:rPr>
          <w:rFonts w:ascii="Calibri" w:hAnsi="Calibri" w:cs="Calibri"/>
          <w:lang w:val="sr-Latn-CS"/>
        </w:rPr>
        <w:t>04.12.2018</w:t>
      </w:r>
      <w:r w:rsidR="00F64D1D" w:rsidRPr="00A47E7E">
        <w:rPr>
          <w:rFonts w:ascii="Calibri" w:hAnsi="Calibri" w:cs="Calibri"/>
          <w:lang w:val="sr-Latn-CS"/>
        </w:rPr>
        <w:t>. godine kotiraju na Banjalučkoj berzi a.d.</w:t>
      </w:r>
    </w:p>
    <w:p w:rsidR="00F64D1D" w:rsidRPr="00A47E7E" w:rsidRDefault="00F64D1D" w:rsidP="00F64D1D">
      <w:pPr>
        <w:ind w:firstLine="270"/>
        <w:jc w:val="both"/>
        <w:rPr>
          <w:rFonts w:ascii="Calibri" w:hAnsi="Calibri" w:cs="Calibri"/>
          <w:lang w:val="sr-Latn-CS"/>
        </w:rPr>
      </w:pPr>
      <w:r w:rsidRPr="00A47E7E">
        <w:rPr>
          <w:rFonts w:ascii="Calibri" w:hAnsi="Calibri" w:cs="Calibri"/>
          <w:lang w:val="sr-Latn-CS"/>
        </w:rPr>
        <w:t>Poslove Depozitara obavlja Nova Banka a.d. Banja Luka  (u daljem tekstu Depozitar)  na osnovu Zakona, Pravilnika i Ugovora o obavljanju poslova depozitara.</w:t>
      </w:r>
    </w:p>
    <w:p w:rsidR="009B07B4" w:rsidRPr="00A47E7E" w:rsidRDefault="009B07B4" w:rsidP="00337720">
      <w:pPr>
        <w:ind w:firstLine="270"/>
        <w:jc w:val="both"/>
        <w:rPr>
          <w:rFonts w:ascii="Calibri" w:hAnsi="Calibri" w:cs="Calibri"/>
          <w:lang w:val="sr-Latn-CS"/>
        </w:rPr>
      </w:pPr>
    </w:p>
    <w:p w:rsidR="009B07B4" w:rsidRPr="00A47E7E" w:rsidRDefault="009B07B4" w:rsidP="00F014B7">
      <w:pPr>
        <w:pStyle w:val="Heading1"/>
        <w:jc w:val="left"/>
        <w:rPr>
          <w:rFonts w:ascii="Calibri" w:hAnsi="Calibri" w:cs="Calibri"/>
          <w:sz w:val="24"/>
          <w:szCs w:val="24"/>
          <w:lang w:val="sr-Latn-CS"/>
        </w:rPr>
      </w:pPr>
      <w:bookmarkStart w:id="2" w:name="_Toc64534428"/>
      <w:r w:rsidRPr="00A47E7E">
        <w:rPr>
          <w:rFonts w:ascii="Calibri" w:hAnsi="Calibri" w:cs="Calibri"/>
          <w:sz w:val="24"/>
          <w:szCs w:val="24"/>
          <w:lang w:val="sr-Latn-CS"/>
        </w:rPr>
        <w:t>OSNOVE ZA SASTAVLJANJE I PREZENTACIJU FINANSIJSKIH IZVJEŠTAJA I RAČUNOVODSTVENI METOD</w:t>
      </w:r>
      <w:bookmarkEnd w:id="2"/>
    </w:p>
    <w:p w:rsidR="009B07B4" w:rsidRPr="00A47E7E" w:rsidRDefault="009B07B4" w:rsidP="009B07B4">
      <w:pPr>
        <w:jc w:val="both"/>
        <w:rPr>
          <w:rFonts w:ascii="Calibri" w:hAnsi="Calibri" w:cs="Calibri"/>
          <w:lang w:val="sr-Latn-CS"/>
        </w:rPr>
      </w:pPr>
    </w:p>
    <w:p w:rsidR="009B07B4" w:rsidRPr="00A47E7E" w:rsidRDefault="008938AD" w:rsidP="00B64A52">
      <w:pPr>
        <w:pStyle w:val="Heading2"/>
        <w:rPr>
          <w:rFonts w:ascii="Calibri" w:hAnsi="Calibri" w:cs="Calibri"/>
          <w:sz w:val="24"/>
          <w:szCs w:val="24"/>
          <w:lang w:val="sr-Latn-CS"/>
        </w:rPr>
      </w:pPr>
      <w:bookmarkStart w:id="3" w:name="_Toc64534429"/>
      <w:r w:rsidRPr="00A47E7E">
        <w:rPr>
          <w:rFonts w:ascii="Calibri" w:hAnsi="Calibri" w:cs="Calibri"/>
          <w:sz w:val="24"/>
          <w:szCs w:val="24"/>
          <w:lang w:val="sr-Latn-CS"/>
        </w:rPr>
        <w:t>Osnove za sastavljanje i prezentaciju finansijskih izvještaja</w:t>
      </w:r>
      <w:bookmarkEnd w:id="3"/>
      <w:r w:rsidRPr="00A47E7E">
        <w:rPr>
          <w:rFonts w:ascii="Calibri" w:hAnsi="Calibri" w:cs="Calibri"/>
          <w:sz w:val="24"/>
          <w:szCs w:val="24"/>
          <w:lang w:val="sr-Latn-CS"/>
        </w:rPr>
        <w:t xml:space="preserve"> </w:t>
      </w:r>
    </w:p>
    <w:p w:rsidR="009B07B4" w:rsidRPr="00A47E7E" w:rsidRDefault="009B07B4" w:rsidP="009B07B4">
      <w:pPr>
        <w:jc w:val="both"/>
        <w:rPr>
          <w:rFonts w:ascii="Calibri" w:hAnsi="Calibri" w:cs="Calibri"/>
          <w:lang w:val="sr-Latn-CS"/>
        </w:rPr>
      </w:pPr>
    </w:p>
    <w:p w:rsidR="009B07B4" w:rsidRPr="00A47E7E" w:rsidRDefault="009B07B4" w:rsidP="009B07B4">
      <w:pPr>
        <w:jc w:val="both"/>
        <w:rPr>
          <w:rFonts w:ascii="Calibri" w:hAnsi="Calibri" w:cs="Calibri"/>
          <w:lang w:val="sr-Latn-CS"/>
        </w:rPr>
      </w:pPr>
      <w:r w:rsidRPr="00A47E7E">
        <w:rPr>
          <w:rFonts w:ascii="Calibri" w:hAnsi="Calibri" w:cs="Calibri"/>
          <w:lang w:val="sr-Latn-CS"/>
        </w:rPr>
        <w:t>Finansijski izvještaji Fonda su pripremljeni u skladu sa računovodstvenim propisima Republike Srpske, kao i propisima koji uređuju tržište kapitala u Republici Srpskoj. Priloženi finansijski izvještaji su pripremljeni po načelu nabavne vrijednosti, izuzev za određene finansijske instrumente koji su prezentovani po fer vrijednosti.</w:t>
      </w:r>
    </w:p>
    <w:p w:rsidR="009B07B4" w:rsidRPr="00A47E7E" w:rsidRDefault="009B07B4" w:rsidP="009B07B4">
      <w:pPr>
        <w:jc w:val="both"/>
        <w:rPr>
          <w:rFonts w:ascii="Calibri" w:hAnsi="Calibri" w:cs="Calibri"/>
          <w:lang w:val="sr-Latn-CS"/>
        </w:rPr>
      </w:pPr>
    </w:p>
    <w:p w:rsidR="009B07B4" w:rsidRPr="00A47E7E" w:rsidRDefault="009B07B4" w:rsidP="009B07B4">
      <w:pPr>
        <w:jc w:val="both"/>
        <w:rPr>
          <w:rFonts w:ascii="Calibri" w:hAnsi="Calibri" w:cs="Calibri"/>
          <w:lang w:val="sr-Latn-CS"/>
        </w:rPr>
      </w:pPr>
      <w:r w:rsidRPr="00A47E7E">
        <w:rPr>
          <w:rFonts w:ascii="Calibri" w:hAnsi="Calibri" w:cs="Calibri"/>
          <w:lang w:val="sr-Latn-CS"/>
        </w:rPr>
        <w:t xml:space="preserve">Finansijski izvještaji Fonda za </w:t>
      </w:r>
      <w:r w:rsidR="00B40C98">
        <w:rPr>
          <w:rFonts w:ascii="Calibri" w:hAnsi="Calibri" w:cs="Calibri"/>
          <w:lang w:val="sr-Latn-CS"/>
        </w:rPr>
        <w:t>31.03</w:t>
      </w:r>
      <w:r w:rsidR="00A43961">
        <w:rPr>
          <w:rFonts w:ascii="Calibri" w:hAnsi="Calibri" w:cs="Calibri"/>
          <w:lang w:val="sr-Latn-CS"/>
        </w:rPr>
        <w:t>.</w:t>
      </w:r>
      <w:r w:rsidR="00B40C98">
        <w:rPr>
          <w:rFonts w:ascii="Calibri" w:hAnsi="Calibri" w:cs="Calibri"/>
          <w:lang w:val="sr-Latn-CS"/>
        </w:rPr>
        <w:t>2021</w:t>
      </w:r>
      <w:r w:rsidRPr="00A47E7E">
        <w:rPr>
          <w:rFonts w:ascii="Calibri" w:hAnsi="Calibri" w:cs="Calibri"/>
          <w:lang w:val="sr-Latn-CS"/>
        </w:rPr>
        <w:t xml:space="preserve">. </w:t>
      </w:r>
      <w:r w:rsidR="0033169F" w:rsidRPr="00A47E7E">
        <w:rPr>
          <w:rFonts w:ascii="Calibri" w:hAnsi="Calibri" w:cs="Calibri"/>
          <w:lang w:val="sr-Latn-CS"/>
        </w:rPr>
        <w:t>g</w:t>
      </w:r>
      <w:r w:rsidR="00A43961">
        <w:rPr>
          <w:rFonts w:ascii="Calibri" w:hAnsi="Calibri" w:cs="Calibri"/>
          <w:lang w:val="sr-Latn-CS"/>
        </w:rPr>
        <w:t>odine</w:t>
      </w:r>
      <w:r w:rsidRPr="00A47E7E">
        <w:rPr>
          <w:rFonts w:ascii="Calibri" w:hAnsi="Calibri" w:cs="Calibri"/>
          <w:lang w:val="sr-Latn-CS"/>
        </w:rPr>
        <w:t xml:space="preserve"> su prikazani u skladu sa Pravilnikom o kontnom okviru, sadržini računa u kontnom okviru i sadržini i formi finansijskih izvještaja za investicione fondove („Službeni glasnik RS“, broj 13/09 i 106/15), a koji uključuju sljedeće finansijske izvještaje:</w:t>
      </w:r>
    </w:p>
    <w:p w:rsidR="009B07B4" w:rsidRPr="00A47E7E" w:rsidRDefault="009B07B4" w:rsidP="009B07B4">
      <w:pPr>
        <w:jc w:val="both"/>
        <w:rPr>
          <w:rFonts w:ascii="Calibri" w:hAnsi="Calibri" w:cs="Calibri"/>
          <w:lang w:val="sr-Latn-CS"/>
        </w:rPr>
      </w:pPr>
    </w:p>
    <w:p w:rsidR="009B07B4" w:rsidRPr="00A47E7E" w:rsidRDefault="009B07B4" w:rsidP="008938AD">
      <w:pPr>
        <w:numPr>
          <w:ilvl w:val="0"/>
          <w:numId w:val="26"/>
        </w:numPr>
        <w:rPr>
          <w:rFonts w:ascii="Calibri" w:hAnsi="Calibri" w:cs="Calibri"/>
        </w:rPr>
      </w:pPr>
      <w:proofErr w:type="spellStart"/>
      <w:r w:rsidRPr="00A47E7E">
        <w:rPr>
          <w:rFonts w:ascii="Calibri" w:hAnsi="Calibri" w:cs="Calibri"/>
        </w:rPr>
        <w:t>Bilans</w:t>
      </w:r>
      <w:proofErr w:type="spellEnd"/>
      <w:r w:rsidRPr="00A47E7E">
        <w:rPr>
          <w:rFonts w:ascii="Calibri" w:hAnsi="Calibri" w:cs="Calibri"/>
        </w:rPr>
        <w:t xml:space="preserve"> </w:t>
      </w:r>
      <w:proofErr w:type="spellStart"/>
      <w:r w:rsidRPr="00A47E7E">
        <w:rPr>
          <w:rFonts w:ascii="Calibri" w:hAnsi="Calibri" w:cs="Calibri"/>
        </w:rPr>
        <w:t>stanja</w:t>
      </w:r>
      <w:proofErr w:type="spellEnd"/>
      <w:r w:rsidRPr="00A47E7E">
        <w:rPr>
          <w:rFonts w:ascii="Calibri" w:hAnsi="Calibri" w:cs="Calibri"/>
        </w:rPr>
        <w:t xml:space="preserve"> </w:t>
      </w:r>
      <w:proofErr w:type="spellStart"/>
      <w:r w:rsidRPr="00A47E7E">
        <w:rPr>
          <w:rFonts w:ascii="Calibri" w:hAnsi="Calibri" w:cs="Calibri"/>
        </w:rPr>
        <w:t>fonda</w:t>
      </w:r>
      <w:proofErr w:type="spellEnd"/>
      <w:r w:rsidRPr="00A47E7E">
        <w:rPr>
          <w:rFonts w:ascii="Calibri" w:hAnsi="Calibri" w:cs="Calibri"/>
        </w:rPr>
        <w:t xml:space="preserve">- </w:t>
      </w:r>
      <w:proofErr w:type="spellStart"/>
      <w:r w:rsidRPr="00A47E7E">
        <w:rPr>
          <w:rFonts w:ascii="Calibri" w:hAnsi="Calibri" w:cs="Calibri"/>
        </w:rPr>
        <w:t>Izvještaj</w:t>
      </w:r>
      <w:proofErr w:type="spellEnd"/>
      <w:r w:rsidRPr="00A47E7E">
        <w:rPr>
          <w:rFonts w:ascii="Calibri" w:hAnsi="Calibri" w:cs="Calibri"/>
        </w:rPr>
        <w:t xml:space="preserve"> o </w:t>
      </w:r>
      <w:proofErr w:type="spellStart"/>
      <w:r w:rsidRPr="00A47E7E">
        <w:rPr>
          <w:rFonts w:ascii="Calibri" w:hAnsi="Calibri" w:cs="Calibri"/>
        </w:rPr>
        <w:t>finansijskom</w:t>
      </w:r>
      <w:proofErr w:type="spellEnd"/>
      <w:r w:rsidRPr="00A47E7E">
        <w:rPr>
          <w:rFonts w:ascii="Calibri" w:hAnsi="Calibri" w:cs="Calibri"/>
        </w:rPr>
        <w:t xml:space="preserve"> </w:t>
      </w:r>
      <w:proofErr w:type="spellStart"/>
      <w:r w:rsidRPr="00A47E7E">
        <w:rPr>
          <w:rFonts w:ascii="Calibri" w:hAnsi="Calibri" w:cs="Calibri"/>
        </w:rPr>
        <w:t>položaju</w:t>
      </w:r>
      <w:proofErr w:type="spellEnd"/>
      <w:r w:rsidRPr="00A47E7E">
        <w:rPr>
          <w:rFonts w:ascii="Calibri" w:hAnsi="Calibri" w:cs="Calibri"/>
        </w:rPr>
        <w:t>;</w:t>
      </w:r>
    </w:p>
    <w:p w:rsidR="009B07B4" w:rsidRPr="00A47E7E" w:rsidRDefault="009B07B4" w:rsidP="008938AD">
      <w:pPr>
        <w:numPr>
          <w:ilvl w:val="0"/>
          <w:numId w:val="26"/>
        </w:numPr>
        <w:rPr>
          <w:rFonts w:ascii="Calibri" w:hAnsi="Calibri" w:cs="Calibri"/>
          <w:lang w:val="sr-Latn-CS"/>
        </w:rPr>
      </w:pPr>
      <w:r w:rsidRPr="00A47E7E">
        <w:rPr>
          <w:rFonts w:ascii="Calibri" w:hAnsi="Calibri" w:cs="Calibri"/>
          <w:lang w:val="sr-Latn-CS"/>
        </w:rPr>
        <w:t>Bilans uspjeha fonda- Izvještaj o ukupnom rezultatu u periodu;</w:t>
      </w:r>
    </w:p>
    <w:p w:rsidR="009B07B4" w:rsidRPr="00A47E7E" w:rsidRDefault="009B07B4" w:rsidP="008938AD">
      <w:pPr>
        <w:numPr>
          <w:ilvl w:val="0"/>
          <w:numId w:val="26"/>
        </w:numPr>
        <w:rPr>
          <w:rFonts w:ascii="Calibri" w:hAnsi="Calibri" w:cs="Calibri"/>
          <w:lang w:val="sr-Latn-CS"/>
        </w:rPr>
      </w:pPr>
      <w:r w:rsidRPr="00A47E7E">
        <w:rPr>
          <w:rFonts w:ascii="Calibri" w:hAnsi="Calibri" w:cs="Calibri"/>
          <w:lang w:val="sr-Latn-CS"/>
        </w:rPr>
        <w:t>Izvještaj o promjenama neto imovine fonda;</w:t>
      </w:r>
    </w:p>
    <w:p w:rsidR="009B07B4" w:rsidRPr="00A47E7E" w:rsidRDefault="009B07B4" w:rsidP="008938AD">
      <w:pPr>
        <w:numPr>
          <w:ilvl w:val="0"/>
          <w:numId w:val="26"/>
        </w:numPr>
        <w:rPr>
          <w:rFonts w:ascii="Calibri" w:hAnsi="Calibri" w:cs="Calibri"/>
          <w:lang w:val="sr-Latn-CS"/>
        </w:rPr>
      </w:pPr>
      <w:r w:rsidRPr="00A47E7E">
        <w:rPr>
          <w:rFonts w:ascii="Calibri" w:hAnsi="Calibri" w:cs="Calibri"/>
          <w:lang w:val="sr-Latn-CS"/>
        </w:rPr>
        <w:t>Bilans tokova gotovine- Izvještaj o tokovima gotovine fonda;</w:t>
      </w:r>
    </w:p>
    <w:p w:rsidR="009B07B4" w:rsidRPr="00A47E7E" w:rsidRDefault="009B07B4" w:rsidP="008938AD">
      <w:pPr>
        <w:numPr>
          <w:ilvl w:val="0"/>
          <w:numId w:val="26"/>
        </w:numPr>
        <w:rPr>
          <w:rFonts w:ascii="Calibri" w:hAnsi="Calibri" w:cs="Calibri"/>
          <w:lang w:val="sr-Latn-CS"/>
        </w:rPr>
      </w:pPr>
      <w:r w:rsidRPr="00A47E7E">
        <w:rPr>
          <w:rFonts w:ascii="Calibri" w:hAnsi="Calibri" w:cs="Calibri"/>
          <w:lang w:val="sr-Latn-CS"/>
        </w:rPr>
        <w:t>Izvještaj o finansijskim pokazateljima po udjelu ili po akciji fonda;</w:t>
      </w:r>
    </w:p>
    <w:p w:rsidR="009B07B4" w:rsidRPr="00A47E7E" w:rsidRDefault="009B07B4" w:rsidP="008938AD">
      <w:pPr>
        <w:numPr>
          <w:ilvl w:val="0"/>
          <w:numId w:val="26"/>
        </w:numPr>
        <w:rPr>
          <w:rFonts w:ascii="Calibri" w:hAnsi="Calibri" w:cs="Calibri"/>
          <w:lang w:val="sr-Latn-CS"/>
        </w:rPr>
      </w:pPr>
      <w:r w:rsidRPr="00A47E7E">
        <w:rPr>
          <w:rFonts w:ascii="Calibri" w:hAnsi="Calibri" w:cs="Calibri"/>
          <w:lang w:val="sr-Latn-CS"/>
        </w:rPr>
        <w:t>Izvještaj o strukturi ulaganja fonda;</w:t>
      </w:r>
    </w:p>
    <w:p w:rsidR="009B07B4" w:rsidRPr="00A47E7E" w:rsidRDefault="009B07B4" w:rsidP="008938AD">
      <w:pPr>
        <w:numPr>
          <w:ilvl w:val="0"/>
          <w:numId w:val="26"/>
        </w:numPr>
        <w:rPr>
          <w:rFonts w:ascii="Calibri" w:hAnsi="Calibri" w:cs="Calibri"/>
          <w:lang w:val="sr-Latn-CS"/>
        </w:rPr>
      </w:pPr>
      <w:r w:rsidRPr="00A47E7E">
        <w:rPr>
          <w:rFonts w:ascii="Calibri" w:hAnsi="Calibri" w:cs="Calibri"/>
          <w:lang w:val="sr-Latn-CS"/>
        </w:rPr>
        <w:t>Izvještaj o strukturi ulaganja fonda po vrstama imovine;</w:t>
      </w:r>
    </w:p>
    <w:p w:rsidR="009B07B4" w:rsidRPr="00A47E7E" w:rsidRDefault="009B07B4" w:rsidP="008938AD">
      <w:pPr>
        <w:numPr>
          <w:ilvl w:val="0"/>
          <w:numId w:val="26"/>
        </w:numPr>
        <w:rPr>
          <w:rFonts w:ascii="Calibri" w:hAnsi="Calibri" w:cs="Calibri"/>
          <w:lang w:val="sr-Latn-CS"/>
        </w:rPr>
      </w:pPr>
      <w:r w:rsidRPr="00A47E7E">
        <w:rPr>
          <w:rFonts w:ascii="Calibri" w:hAnsi="Calibri" w:cs="Calibri"/>
          <w:lang w:val="sr-Latn-CS"/>
        </w:rPr>
        <w:t>Struktura obaveza fonda po vrstama instrumenata;</w:t>
      </w:r>
    </w:p>
    <w:p w:rsidR="009B07B4" w:rsidRPr="00A47E7E" w:rsidRDefault="009B07B4" w:rsidP="008938AD">
      <w:pPr>
        <w:numPr>
          <w:ilvl w:val="0"/>
          <w:numId w:val="26"/>
        </w:numPr>
        <w:rPr>
          <w:rFonts w:ascii="Calibri" w:hAnsi="Calibri" w:cs="Calibri"/>
          <w:lang w:val="sr-Latn-CS"/>
        </w:rPr>
      </w:pPr>
      <w:r w:rsidRPr="00A47E7E">
        <w:rPr>
          <w:rFonts w:ascii="Calibri" w:hAnsi="Calibri" w:cs="Calibri"/>
          <w:lang w:val="sr-Latn-CS"/>
        </w:rPr>
        <w:t>Izvještaj o realizovanim dobicima (gubicima) fonda;</w:t>
      </w:r>
    </w:p>
    <w:p w:rsidR="009B07B4" w:rsidRPr="00A47E7E" w:rsidRDefault="009B07B4" w:rsidP="008938AD">
      <w:pPr>
        <w:numPr>
          <w:ilvl w:val="0"/>
          <w:numId w:val="26"/>
        </w:numPr>
        <w:rPr>
          <w:rFonts w:ascii="Calibri" w:hAnsi="Calibri" w:cs="Calibri"/>
          <w:lang w:val="sr-Latn-CS"/>
        </w:rPr>
      </w:pPr>
      <w:r w:rsidRPr="00A47E7E">
        <w:rPr>
          <w:rFonts w:ascii="Calibri" w:hAnsi="Calibri" w:cs="Calibri"/>
          <w:lang w:val="sr-Latn-CS"/>
        </w:rPr>
        <w:t xml:space="preserve">Izvještaj o neralizovanim dobicima (gubicima) fonda; i </w:t>
      </w:r>
    </w:p>
    <w:p w:rsidR="009B07B4" w:rsidRPr="00A47E7E" w:rsidRDefault="009B07B4" w:rsidP="008938AD">
      <w:pPr>
        <w:numPr>
          <w:ilvl w:val="0"/>
          <w:numId w:val="26"/>
        </w:numPr>
        <w:rPr>
          <w:rFonts w:ascii="Calibri" w:hAnsi="Calibri" w:cs="Calibri"/>
          <w:lang w:val="sr-Latn-CS"/>
        </w:rPr>
      </w:pPr>
      <w:r w:rsidRPr="00A47E7E">
        <w:rPr>
          <w:rFonts w:ascii="Calibri" w:hAnsi="Calibri" w:cs="Calibri"/>
          <w:lang w:val="sr-Latn-CS"/>
        </w:rPr>
        <w:lastRenderedPageBreak/>
        <w:t>Izvještaj o transakcijama sa povezanim licima.</w:t>
      </w:r>
    </w:p>
    <w:p w:rsidR="00073CB9" w:rsidRPr="00A47E7E" w:rsidRDefault="00073CB9" w:rsidP="00073CB9">
      <w:pPr>
        <w:pStyle w:val="Header"/>
        <w:suppressAutoHyphens/>
        <w:jc w:val="both"/>
        <w:rPr>
          <w:rFonts w:ascii="Calibri" w:hAnsi="Calibri" w:cs="Calibri"/>
          <w:sz w:val="24"/>
          <w:szCs w:val="24"/>
          <w:lang w:val="sr-Latn-CS" w:eastAsia="en-US"/>
        </w:rPr>
      </w:pPr>
    </w:p>
    <w:p w:rsidR="00073CB9" w:rsidRDefault="00073CB9" w:rsidP="00073CB9">
      <w:pPr>
        <w:pStyle w:val="Header"/>
        <w:suppressAutoHyphens/>
        <w:jc w:val="both"/>
        <w:rPr>
          <w:rFonts w:ascii="Calibri" w:hAnsi="Calibri" w:cs="Calibri"/>
          <w:sz w:val="24"/>
          <w:szCs w:val="24"/>
          <w:lang w:val="sr-Latn-CS" w:eastAsia="en-US"/>
        </w:rPr>
      </w:pPr>
      <w:r w:rsidRPr="00A47E7E">
        <w:rPr>
          <w:rFonts w:ascii="Calibri" w:hAnsi="Calibri" w:cs="Calibri"/>
          <w:sz w:val="24"/>
          <w:szCs w:val="24"/>
          <w:lang w:val="sr-Latn-CS" w:eastAsia="en-US"/>
        </w:rPr>
        <w:t>U skladu sa Pravilnikom o kontnom okviru i sadržini računa u Kontnom okviru za investicione fondove („Službeni glasnik RS, broj 106/15- Pravilnik o kontnom okviru“), evidentiranje neralizovanih dobitaka i gubitaka nastalih po osnovu promjene fer vrijednosti finansijskih sredstava klasifikovanih kao „finansijska sredstva po fer vrijednosti kroz bilans uspjeha“ priznaju se direktno u okviru kapitala, a ne u okviru računa dobitka ili gubitka perioda, kako se to zahtjeva po I</w:t>
      </w:r>
      <w:r w:rsidR="00FC221C">
        <w:rPr>
          <w:rFonts w:ascii="Calibri" w:hAnsi="Calibri" w:cs="Calibri"/>
          <w:sz w:val="24"/>
          <w:szCs w:val="24"/>
          <w:lang w:val="sr-Latn-CS" w:eastAsia="en-US"/>
        </w:rPr>
        <w:t>FRS 9 „Finansijski instrumenti“.</w:t>
      </w:r>
    </w:p>
    <w:p w:rsidR="00343C58" w:rsidRPr="00A47E7E" w:rsidRDefault="00343C58" w:rsidP="00073CB9">
      <w:pPr>
        <w:pStyle w:val="Header"/>
        <w:suppressAutoHyphens/>
        <w:jc w:val="both"/>
        <w:rPr>
          <w:rFonts w:ascii="Calibri" w:hAnsi="Calibri" w:cs="Calibri"/>
          <w:sz w:val="24"/>
          <w:szCs w:val="24"/>
          <w:lang w:val="sr-Latn-CS" w:eastAsia="en-US"/>
        </w:rPr>
      </w:pPr>
    </w:p>
    <w:p w:rsidR="00343C58" w:rsidRDefault="00343C58" w:rsidP="00343C58">
      <w:pPr>
        <w:pStyle w:val="Header"/>
        <w:suppressAutoHyphens/>
        <w:jc w:val="both"/>
        <w:rPr>
          <w:rFonts w:ascii="Calibri" w:hAnsi="Calibri" w:cs="Calibri"/>
          <w:sz w:val="24"/>
          <w:szCs w:val="24"/>
          <w:lang w:val="sr-Latn-CS" w:eastAsia="en-US"/>
        </w:rPr>
      </w:pPr>
      <w:r>
        <w:rPr>
          <w:rFonts w:ascii="Calibri" w:hAnsi="Calibri" w:cs="Calibri"/>
          <w:sz w:val="24"/>
          <w:szCs w:val="24"/>
          <w:lang w:val="sr-Latn-CS" w:eastAsia="en-US"/>
        </w:rPr>
        <w:t>Napominjemo da kontni plan i obrasci finansijskih izvještaja nisu usklađeni sa IFRS 9 „Finansijski instrumenti“.</w:t>
      </w:r>
    </w:p>
    <w:p w:rsidR="00073CB9" w:rsidRPr="00A47E7E" w:rsidRDefault="00073CB9" w:rsidP="00073CB9">
      <w:pPr>
        <w:pStyle w:val="Header"/>
        <w:suppressAutoHyphens/>
        <w:jc w:val="both"/>
        <w:rPr>
          <w:rFonts w:ascii="Calibri" w:hAnsi="Calibri" w:cs="Calibri"/>
          <w:sz w:val="24"/>
          <w:szCs w:val="24"/>
          <w:lang w:val="sr-Latn-CS" w:eastAsia="en-US"/>
        </w:rPr>
      </w:pPr>
    </w:p>
    <w:p w:rsidR="00073CB9" w:rsidRPr="00A47E7E" w:rsidRDefault="00073CB9" w:rsidP="00073CB9">
      <w:pPr>
        <w:pStyle w:val="Header"/>
        <w:suppressAutoHyphens/>
        <w:jc w:val="both"/>
        <w:rPr>
          <w:rFonts w:ascii="Calibri" w:hAnsi="Calibri" w:cs="Calibri"/>
          <w:sz w:val="24"/>
          <w:szCs w:val="24"/>
          <w:lang w:val="sr-Latn-CS" w:eastAsia="en-US"/>
        </w:rPr>
      </w:pPr>
      <w:r w:rsidRPr="00A47E7E">
        <w:rPr>
          <w:rFonts w:ascii="Calibri" w:hAnsi="Calibri" w:cs="Calibri"/>
          <w:sz w:val="24"/>
          <w:szCs w:val="24"/>
          <w:lang w:val="sr-Latn-CS" w:eastAsia="en-US"/>
        </w:rPr>
        <w:t xml:space="preserve">Iznosi u finansijskim izvještajima izraženi su u Konvertibilnim markama (KM). Konvertibilna marka predstavlja zvaničnu izvještajnu i funkcionalnu valutu u Republici Srpskoj. </w:t>
      </w:r>
    </w:p>
    <w:p w:rsidR="00073CB9" w:rsidRPr="00A47E7E" w:rsidRDefault="00073CB9" w:rsidP="00073CB9">
      <w:pPr>
        <w:pStyle w:val="Header"/>
        <w:suppressAutoHyphens/>
        <w:jc w:val="both"/>
        <w:rPr>
          <w:rFonts w:ascii="Calibri" w:hAnsi="Calibri" w:cs="Calibri"/>
          <w:sz w:val="24"/>
          <w:szCs w:val="24"/>
          <w:lang w:val="sr-Latn-CS" w:eastAsia="en-US"/>
        </w:rPr>
      </w:pPr>
    </w:p>
    <w:p w:rsidR="00073CB9" w:rsidRPr="00A47E7E" w:rsidRDefault="0033169F" w:rsidP="00073CB9">
      <w:pPr>
        <w:pStyle w:val="Header"/>
        <w:suppressAutoHyphens/>
        <w:jc w:val="both"/>
        <w:rPr>
          <w:rFonts w:ascii="Calibri" w:hAnsi="Calibri" w:cs="Calibri"/>
          <w:sz w:val="24"/>
          <w:szCs w:val="24"/>
          <w:lang w:val="sr-Latn-CS" w:eastAsia="en-US"/>
        </w:rPr>
      </w:pPr>
      <w:r w:rsidRPr="00A47E7E">
        <w:rPr>
          <w:rFonts w:ascii="Calibri" w:hAnsi="Calibri" w:cs="Calibri"/>
          <w:sz w:val="24"/>
          <w:szCs w:val="24"/>
          <w:lang w:val="sr-Latn-CS" w:eastAsia="en-US"/>
        </w:rPr>
        <w:t>Društvo</w:t>
      </w:r>
      <w:r w:rsidR="00073CB9" w:rsidRPr="00A47E7E">
        <w:rPr>
          <w:rFonts w:ascii="Calibri" w:hAnsi="Calibri" w:cs="Calibri"/>
          <w:sz w:val="24"/>
          <w:szCs w:val="24"/>
          <w:lang w:val="sr-Latn-CS" w:eastAsia="en-US"/>
        </w:rPr>
        <w:t xml:space="preserve"> je u sastavljan</w:t>
      </w:r>
      <w:r w:rsidR="008938AD" w:rsidRPr="00A47E7E">
        <w:rPr>
          <w:rFonts w:ascii="Calibri" w:hAnsi="Calibri" w:cs="Calibri"/>
          <w:sz w:val="24"/>
          <w:szCs w:val="24"/>
          <w:lang w:val="sr-Latn-CS" w:eastAsia="en-US"/>
        </w:rPr>
        <w:t>ju ovih finansijskih izvještaja</w:t>
      </w:r>
      <w:r w:rsidRPr="00A47E7E">
        <w:rPr>
          <w:rFonts w:ascii="Calibri" w:hAnsi="Calibri" w:cs="Calibri"/>
          <w:sz w:val="24"/>
          <w:szCs w:val="24"/>
          <w:lang w:val="sr-Latn-CS" w:eastAsia="en-US"/>
        </w:rPr>
        <w:t xml:space="preserve"> Fonda</w:t>
      </w:r>
      <w:r w:rsidR="00073CB9" w:rsidRPr="00A47E7E">
        <w:rPr>
          <w:rFonts w:ascii="Calibri" w:hAnsi="Calibri" w:cs="Calibri"/>
          <w:sz w:val="24"/>
          <w:szCs w:val="24"/>
          <w:lang w:val="sr-Latn-CS" w:eastAsia="en-US"/>
        </w:rPr>
        <w:t xml:space="preserve"> primjenjivao računovodstvene politike obrazložene u </w:t>
      </w:r>
      <w:r w:rsidRPr="00A47E7E">
        <w:rPr>
          <w:rFonts w:ascii="Calibri" w:hAnsi="Calibri" w:cs="Calibri"/>
          <w:sz w:val="24"/>
          <w:szCs w:val="24"/>
          <w:lang w:val="sr-Latn-CS" w:eastAsia="en-US"/>
        </w:rPr>
        <w:t>napomenama</w:t>
      </w:r>
      <w:r w:rsidR="00073CB9" w:rsidRPr="00A47E7E">
        <w:rPr>
          <w:rFonts w:ascii="Calibri" w:hAnsi="Calibri" w:cs="Calibri"/>
          <w:sz w:val="24"/>
          <w:szCs w:val="24"/>
          <w:lang w:val="sr-Latn-CS" w:eastAsia="en-US"/>
        </w:rPr>
        <w:t xml:space="preserve"> uz finansijske izvještaje, koje su zasnovane na računovodstvenim i poreskim propisima Republike Srpske.</w:t>
      </w:r>
    </w:p>
    <w:p w:rsidR="00073CB9" w:rsidRDefault="00073CB9" w:rsidP="00073CB9">
      <w:pPr>
        <w:pStyle w:val="Header"/>
        <w:suppressAutoHyphens/>
        <w:jc w:val="both"/>
        <w:rPr>
          <w:rFonts w:ascii="Calibri" w:hAnsi="Calibri" w:cs="Calibri"/>
          <w:sz w:val="24"/>
          <w:szCs w:val="24"/>
          <w:lang w:val="sr-Latn-CS" w:eastAsia="en-US"/>
        </w:rPr>
      </w:pPr>
    </w:p>
    <w:p w:rsidR="00F33B00" w:rsidRDefault="00F33B00" w:rsidP="00073CB9">
      <w:pPr>
        <w:pStyle w:val="Header"/>
        <w:suppressAutoHyphens/>
        <w:jc w:val="both"/>
        <w:rPr>
          <w:rFonts w:ascii="Calibri" w:hAnsi="Calibri" w:cs="Calibri"/>
          <w:sz w:val="24"/>
          <w:szCs w:val="24"/>
          <w:lang w:val="sr-Latn-CS" w:eastAsia="en-US"/>
        </w:rPr>
      </w:pPr>
    </w:p>
    <w:p w:rsidR="00321C8E" w:rsidRPr="001975D5" w:rsidRDefault="00321C8E" w:rsidP="00321C8E">
      <w:pPr>
        <w:pStyle w:val="Stil1"/>
        <w:numPr>
          <w:ilvl w:val="0"/>
          <w:numId w:val="0"/>
        </w:numPr>
        <w:rPr>
          <w:szCs w:val="20"/>
        </w:rPr>
      </w:pPr>
      <w:r w:rsidRPr="001975D5">
        <w:rPr>
          <w:szCs w:val="20"/>
        </w:rPr>
        <w:t xml:space="preserve">2.      OSNOVE ZA SASTAVLJANJE I PRIKAZIVANJE FINANSIJSKIH IZVJEŠTAJA </w:t>
      </w:r>
    </w:p>
    <w:p w:rsidR="00321C8E" w:rsidRPr="001975D5" w:rsidRDefault="00321C8E" w:rsidP="00321C8E">
      <w:pPr>
        <w:pStyle w:val="Header"/>
        <w:suppressAutoHyphens/>
        <w:jc w:val="both"/>
        <w:rPr>
          <w:rFonts w:ascii="Calibri" w:hAnsi="Calibri" w:cs="Calibri"/>
          <w:sz w:val="24"/>
          <w:szCs w:val="24"/>
          <w:lang w:val="sr-Latn-CS" w:eastAsia="en-US"/>
        </w:rPr>
      </w:pPr>
    </w:p>
    <w:p w:rsidR="00321C8E" w:rsidRPr="001975D5" w:rsidRDefault="00321C8E" w:rsidP="00321C8E">
      <w:pPr>
        <w:pStyle w:val="Header"/>
        <w:suppressAutoHyphens/>
        <w:jc w:val="both"/>
        <w:rPr>
          <w:rFonts w:ascii="Calibri" w:hAnsi="Calibri" w:cs="Calibri"/>
          <w:sz w:val="24"/>
          <w:szCs w:val="24"/>
          <w:lang w:val="sr-Latn-CS" w:eastAsia="en-US"/>
        </w:rPr>
      </w:pPr>
      <w:r w:rsidRPr="001975D5">
        <w:rPr>
          <w:rFonts w:ascii="Calibri" w:hAnsi="Calibri" w:cs="Calibri"/>
          <w:sz w:val="24"/>
          <w:szCs w:val="24"/>
          <w:lang w:val="sr-Latn-CS" w:eastAsia="en-US"/>
        </w:rPr>
        <w:t xml:space="preserve">Priloženi finansijski izvještaji sastavljeni su uz primjenu Međunarodnih računovodstvenih standarda (»IAS«), odnosno Međunarodnih standarda finansijskog izvještavanja (»IFRS«, u daljem tekstu zajedno: »Standardi«), koji su bili u primjeni na dan 31. decembra 2018. godine i na njima zasnovanim propisima o računovodstvu Republike Srpske. </w:t>
      </w:r>
    </w:p>
    <w:p w:rsidR="00321C8E" w:rsidRPr="001975D5" w:rsidRDefault="00321C8E" w:rsidP="00321C8E">
      <w:pPr>
        <w:pStyle w:val="Header"/>
        <w:suppressAutoHyphens/>
        <w:jc w:val="both"/>
        <w:rPr>
          <w:rFonts w:ascii="Calibri" w:hAnsi="Calibri" w:cs="Calibri"/>
          <w:sz w:val="24"/>
          <w:szCs w:val="24"/>
          <w:lang w:val="sr-Latn-CS" w:eastAsia="en-US"/>
        </w:rPr>
      </w:pPr>
    </w:p>
    <w:p w:rsidR="00321C8E" w:rsidRPr="001975D5" w:rsidRDefault="00321C8E" w:rsidP="00321C8E">
      <w:pPr>
        <w:pStyle w:val="Header"/>
        <w:suppressAutoHyphens/>
        <w:jc w:val="both"/>
        <w:rPr>
          <w:rFonts w:ascii="Calibri" w:hAnsi="Calibri" w:cs="Calibri"/>
          <w:sz w:val="24"/>
          <w:szCs w:val="24"/>
          <w:lang w:val="sr-Latn-CS" w:eastAsia="en-US"/>
        </w:rPr>
      </w:pPr>
      <w:r w:rsidRPr="001975D5">
        <w:rPr>
          <w:rFonts w:ascii="Calibri" w:hAnsi="Calibri" w:cs="Calibri"/>
          <w:sz w:val="24"/>
          <w:szCs w:val="24"/>
          <w:lang w:val="sr-Latn-CS" w:eastAsia="en-US"/>
        </w:rPr>
        <w:t xml:space="preserve">Promjene u važećim Standardima i tumačenjima, kao i novousvojeni Standardi i tumačenja, izdati nakon 31. decembra 2018. godine, nisu objavljeni i zvanično usvojeni u Republici Srpskoj i, saglasno tome, nisu primijenjeni u sastavljanju priloženih konsolidovanih finansijskih izvještaja. </w:t>
      </w:r>
    </w:p>
    <w:p w:rsidR="00321C8E" w:rsidRPr="001975D5" w:rsidRDefault="00321C8E" w:rsidP="00321C8E">
      <w:pPr>
        <w:pStyle w:val="Header"/>
        <w:suppressAutoHyphens/>
        <w:jc w:val="both"/>
        <w:rPr>
          <w:rFonts w:ascii="Calibri" w:hAnsi="Calibri" w:cs="Calibri"/>
          <w:sz w:val="24"/>
          <w:szCs w:val="24"/>
          <w:lang w:val="sr-Latn-CS" w:eastAsia="en-US"/>
        </w:rPr>
      </w:pPr>
    </w:p>
    <w:p w:rsidR="00321C8E" w:rsidRPr="001975D5" w:rsidRDefault="00321C8E" w:rsidP="00321C8E">
      <w:pPr>
        <w:pStyle w:val="Header"/>
        <w:suppressAutoHyphens/>
        <w:jc w:val="both"/>
        <w:rPr>
          <w:rFonts w:ascii="Calibri" w:hAnsi="Calibri" w:cs="Calibri"/>
          <w:sz w:val="24"/>
          <w:szCs w:val="24"/>
          <w:lang w:val="sr-Latn-CS" w:eastAsia="en-US"/>
        </w:rPr>
      </w:pPr>
      <w:r w:rsidRPr="001975D5">
        <w:rPr>
          <w:rFonts w:ascii="Calibri" w:hAnsi="Calibri" w:cs="Calibri"/>
          <w:sz w:val="24"/>
          <w:szCs w:val="24"/>
          <w:lang w:val="sr-Latn-CS" w:eastAsia="en-US"/>
        </w:rPr>
        <w:t>Naime, na osnovu odredbi novousvojenog Zakona o računovodstvu i reviziji Republike Srpske (»Službeni glasnik RS«, broj 94/15), sva pravna lica sa sjedištem u Republici Srpskoj su u obavezi da u potpunosti primjenjuju IAS, odnosno IFRS, kao i Međunarodni standard finansijskog izvještavanja za male i srednje entitete (»IFRS for SMEs«), Međunarodne računovodstvene standarde za javni sektor (»IPSAS«), Međunarodne standarde vrednovanja (»IVS«), Međunarodne standarde za profesionalnu praksu interne revizije, Konceptualni okvir za finansijsko izvještavanje, Kodeks etike za profesionalne računovođe i prateća uputstva, objašnjenja i smjernice koje donosi Odbor za međunarodne računovodstvene standarde (»IASB«) i sva prateća uputstva, objašnjenja i smjernice koje donosi Međunarodna federacija računovođa (»IFAC«).</w:t>
      </w:r>
    </w:p>
    <w:p w:rsidR="00321C8E" w:rsidRPr="001975D5" w:rsidRDefault="00321C8E" w:rsidP="00321C8E">
      <w:pPr>
        <w:pStyle w:val="Header"/>
        <w:suppressAutoHyphens/>
        <w:jc w:val="both"/>
        <w:rPr>
          <w:rFonts w:ascii="Calibri" w:hAnsi="Calibri" w:cs="Calibri"/>
          <w:sz w:val="24"/>
          <w:szCs w:val="24"/>
          <w:lang w:val="sr-Latn-CS" w:eastAsia="en-US"/>
        </w:rPr>
      </w:pPr>
    </w:p>
    <w:p w:rsidR="00321C8E" w:rsidRPr="001975D5" w:rsidRDefault="00321C8E" w:rsidP="00321C8E">
      <w:pPr>
        <w:pStyle w:val="Header"/>
        <w:suppressAutoHyphens/>
        <w:jc w:val="both"/>
        <w:rPr>
          <w:rFonts w:ascii="Calibri" w:hAnsi="Calibri" w:cs="Calibri"/>
          <w:sz w:val="24"/>
          <w:szCs w:val="24"/>
          <w:lang w:val="sr-Latn-CS" w:eastAsia="en-US"/>
        </w:rPr>
      </w:pPr>
      <w:r w:rsidRPr="001975D5">
        <w:rPr>
          <w:rFonts w:ascii="Calibri" w:hAnsi="Calibri" w:cs="Calibri"/>
          <w:sz w:val="24"/>
          <w:szCs w:val="24"/>
          <w:lang w:val="sr-Latn-CS" w:eastAsia="en-US"/>
        </w:rPr>
        <w:lastRenderedPageBreak/>
        <w:t>Pored navedenog, u skladu sa Zakonom o računovodstvu i reviziji Republike Srpske (»Službeni glasnik RS«, broj 94/15), dana 19. februara 2020. godine Upravni odbor Saveza računovođa i revizora Republike Srpske (»Savez RR RS«) je donio »Odluku o utvrđivanju i objavljivanju prevoda Međunarodnih standarda finansijskog izvještavanja (MSFI) iz 2018. godine«.</w:t>
      </w:r>
    </w:p>
    <w:p w:rsidR="00321C8E" w:rsidRPr="001975D5" w:rsidRDefault="00321C8E" w:rsidP="00321C8E">
      <w:pPr>
        <w:pStyle w:val="Header"/>
        <w:suppressAutoHyphens/>
        <w:jc w:val="both"/>
        <w:rPr>
          <w:rFonts w:ascii="Calibri" w:hAnsi="Calibri" w:cs="Calibri"/>
          <w:sz w:val="24"/>
          <w:szCs w:val="24"/>
          <w:lang w:val="sr-Latn-CS" w:eastAsia="en-US"/>
        </w:rPr>
      </w:pPr>
    </w:p>
    <w:p w:rsidR="00321C8E" w:rsidRPr="001975D5" w:rsidRDefault="00321C8E" w:rsidP="00321C8E">
      <w:pPr>
        <w:pStyle w:val="Header"/>
        <w:suppressAutoHyphens/>
        <w:jc w:val="both"/>
        <w:rPr>
          <w:rFonts w:ascii="Calibri" w:hAnsi="Calibri" w:cs="Calibri"/>
          <w:sz w:val="24"/>
          <w:szCs w:val="24"/>
          <w:lang w:val="sr-Latn-CS" w:eastAsia="en-US"/>
        </w:rPr>
      </w:pPr>
      <w:r w:rsidRPr="001975D5">
        <w:rPr>
          <w:rFonts w:ascii="Calibri" w:hAnsi="Calibri" w:cs="Calibri"/>
          <w:sz w:val="24"/>
          <w:szCs w:val="24"/>
          <w:lang w:val="sr-Latn-CS" w:eastAsia="en-US"/>
        </w:rPr>
        <w:t xml:space="preserve">Prema navedenoj Odlukom utvrđuju se i objavljuju prevodi Standarda i tumačenja izdati od strane Odbora za međunarodne računovodstvene standarde do 31. decembra 2018. godine, koji su objavljeni na web stranici Saveza RR RS, a koji se počinju primjenjivati u Republici Srpskoj za finansijske izvještaje koji se sastavljaju na dan 31. decembra 2020. godine. </w:t>
      </w:r>
    </w:p>
    <w:p w:rsidR="00321C8E" w:rsidRPr="001975D5" w:rsidRDefault="00321C8E" w:rsidP="00321C8E">
      <w:pPr>
        <w:pStyle w:val="Header"/>
        <w:suppressAutoHyphens/>
        <w:jc w:val="both"/>
        <w:rPr>
          <w:rFonts w:ascii="Calibri" w:hAnsi="Calibri" w:cs="Calibri"/>
          <w:sz w:val="24"/>
          <w:szCs w:val="24"/>
          <w:lang w:val="sr-Latn-CS" w:eastAsia="en-US"/>
        </w:rPr>
      </w:pPr>
    </w:p>
    <w:p w:rsidR="00321C8E" w:rsidRPr="001975D5" w:rsidRDefault="00321C8E" w:rsidP="00321C8E">
      <w:pPr>
        <w:pStyle w:val="Header"/>
        <w:suppressAutoHyphens/>
        <w:jc w:val="both"/>
        <w:rPr>
          <w:rFonts w:ascii="Calibri" w:hAnsi="Calibri" w:cs="Calibri"/>
          <w:sz w:val="24"/>
          <w:szCs w:val="24"/>
          <w:lang w:val="sr-Latn-CS" w:eastAsia="en-US"/>
        </w:rPr>
      </w:pPr>
      <w:r w:rsidRPr="001975D5">
        <w:rPr>
          <w:rFonts w:ascii="Calibri" w:hAnsi="Calibri" w:cs="Calibri"/>
          <w:sz w:val="24"/>
          <w:szCs w:val="24"/>
          <w:lang w:val="sr-Latn-CS" w:eastAsia="en-US"/>
        </w:rPr>
        <w:t>Rukovodstvo Fonda analizira promjene u važećim Standardima i tumačenjima, kao i novousvojene Standarde i tumačenja izdata nakon 31. decembra 2018. godine, i nakon ustanovljavanja Standarda i tumačenja koji su relevantni za Fond, ima namjeru da iste primijeni u sastavljanju finansijskih izvještaja nakon što oni budu zvanično prevedeni i objavljeni u Republici Srpskoj.</w:t>
      </w:r>
    </w:p>
    <w:p w:rsidR="00321C8E" w:rsidRPr="001975D5" w:rsidRDefault="00321C8E" w:rsidP="00321C8E">
      <w:pPr>
        <w:pStyle w:val="Header"/>
        <w:suppressAutoHyphens/>
        <w:jc w:val="both"/>
        <w:rPr>
          <w:rFonts w:ascii="Calibri" w:hAnsi="Calibri" w:cs="Calibri"/>
          <w:sz w:val="24"/>
          <w:szCs w:val="24"/>
          <w:lang w:val="sr-Latn-CS" w:eastAsia="en-US"/>
        </w:rPr>
      </w:pPr>
    </w:p>
    <w:p w:rsidR="00321C8E" w:rsidRPr="001975D5" w:rsidRDefault="00321C8E" w:rsidP="00321C8E">
      <w:pPr>
        <w:pStyle w:val="Header"/>
        <w:suppressAutoHyphens/>
        <w:jc w:val="both"/>
        <w:rPr>
          <w:rFonts w:ascii="Calibri" w:hAnsi="Calibri" w:cs="Calibri"/>
          <w:sz w:val="24"/>
          <w:szCs w:val="24"/>
          <w:lang w:val="sr-Latn-CS" w:eastAsia="en-US"/>
        </w:rPr>
      </w:pPr>
      <w:r w:rsidRPr="001975D5">
        <w:rPr>
          <w:rFonts w:ascii="Calibri" w:hAnsi="Calibri" w:cs="Calibri"/>
          <w:sz w:val="24"/>
          <w:szCs w:val="24"/>
          <w:lang w:val="sr-Latn-CS" w:eastAsia="en-US"/>
        </w:rPr>
        <w:t>Iznosi u priloženim finansijskim izvještajima Fonda iskazani su u konvertibilnim markama (KM), osim ukoliko nije drugačije naznačeno. Konvertibilna marka (KM) predstavlja funkcionalnu i izvještajnu valutu u Republici Srpskoj i Bosni i Hercegovini.</w:t>
      </w:r>
    </w:p>
    <w:p w:rsidR="00321C8E" w:rsidRPr="001975D5" w:rsidRDefault="00321C8E" w:rsidP="00321C8E">
      <w:pPr>
        <w:pStyle w:val="Header"/>
        <w:suppressAutoHyphens/>
        <w:jc w:val="both"/>
        <w:rPr>
          <w:rFonts w:ascii="Calibri" w:hAnsi="Calibri" w:cs="Calibri"/>
          <w:sz w:val="24"/>
          <w:szCs w:val="24"/>
          <w:lang w:val="sr-Latn-CS" w:eastAsia="en-US"/>
        </w:rPr>
      </w:pPr>
    </w:p>
    <w:p w:rsidR="00321C8E" w:rsidRPr="001975D5" w:rsidRDefault="00321C8E" w:rsidP="00321C8E">
      <w:pPr>
        <w:pStyle w:val="Header"/>
        <w:suppressAutoHyphens/>
        <w:jc w:val="both"/>
        <w:rPr>
          <w:rFonts w:ascii="Calibri" w:hAnsi="Calibri" w:cs="Calibri"/>
          <w:sz w:val="24"/>
          <w:szCs w:val="24"/>
          <w:lang w:val="sr-Latn-CS" w:eastAsia="en-US"/>
        </w:rPr>
      </w:pPr>
      <w:r w:rsidRPr="001975D5">
        <w:rPr>
          <w:rFonts w:ascii="Calibri" w:hAnsi="Calibri" w:cs="Calibri"/>
          <w:sz w:val="24"/>
          <w:szCs w:val="24"/>
          <w:lang w:val="sr-Latn-CS" w:eastAsia="en-US"/>
        </w:rPr>
        <w:t>Rukovodstvo Fonda je izabralo da ne usvoji ove nove Standarde i izmjene postojećih Standarda prije nego oni stupe na snagu. Rukovodstvo predviđa da usvajanje ovih novih Standarda i izmjena postojećih Standarda neće imati materijalan uticaj na finansijske izvještaje Fonda u periodu inicijalne primjene.</w:t>
      </w:r>
    </w:p>
    <w:p w:rsidR="00321C8E" w:rsidRPr="001975D5" w:rsidRDefault="00321C8E" w:rsidP="00321C8E">
      <w:pPr>
        <w:pStyle w:val="Header"/>
        <w:suppressAutoHyphens/>
        <w:jc w:val="both"/>
        <w:rPr>
          <w:rFonts w:ascii="Calibri" w:hAnsi="Calibri" w:cs="Calibri"/>
          <w:sz w:val="24"/>
          <w:szCs w:val="24"/>
          <w:lang w:val="sr-Latn-CS" w:eastAsia="en-US"/>
        </w:rPr>
      </w:pPr>
    </w:p>
    <w:p w:rsidR="00321C8E" w:rsidRPr="001975D5" w:rsidRDefault="00321C8E" w:rsidP="00321C8E">
      <w:pPr>
        <w:pStyle w:val="Header"/>
        <w:suppressAutoHyphens/>
        <w:jc w:val="both"/>
        <w:rPr>
          <w:rFonts w:ascii="Calibri" w:hAnsi="Calibri" w:cs="Calibri"/>
          <w:sz w:val="24"/>
          <w:szCs w:val="24"/>
          <w:lang w:val="sr-Latn-CS" w:eastAsia="en-US"/>
        </w:rPr>
      </w:pPr>
      <w:r w:rsidRPr="001975D5">
        <w:rPr>
          <w:rFonts w:ascii="Calibri" w:hAnsi="Calibri" w:cs="Calibri"/>
          <w:sz w:val="24"/>
          <w:szCs w:val="24"/>
          <w:lang w:val="sr-Latn-CS" w:eastAsia="en-US"/>
        </w:rPr>
        <w:t xml:space="preserve">Osnovne računovodstvene politike primijenjene prilikom sastavljanja ovih finansijskih izvještaja navedene su u Napomeni 3. </w:t>
      </w:r>
    </w:p>
    <w:p w:rsidR="00321C8E" w:rsidRPr="001975D5" w:rsidRDefault="00321C8E" w:rsidP="00321C8E">
      <w:pPr>
        <w:pStyle w:val="Header"/>
        <w:suppressAutoHyphens/>
        <w:jc w:val="both"/>
        <w:rPr>
          <w:rFonts w:ascii="Calibri" w:hAnsi="Calibri" w:cs="Calibri"/>
          <w:sz w:val="24"/>
          <w:szCs w:val="24"/>
          <w:lang w:val="sr-Latn-CS" w:eastAsia="en-US"/>
        </w:rPr>
      </w:pPr>
    </w:p>
    <w:p w:rsidR="00321C8E" w:rsidRPr="001975D5" w:rsidRDefault="00321C8E" w:rsidP="00321C8E">
      <w:pPr>
        <w:pStyle w:val="Header"/>
        <w:suppressAutoHyphens/>
        <w:jc w:val="both"/>
        <w:rPr>
          <w:rFonts w:ascii="Calibri" w:hAnsi="Calibri" w:cs="Calibri"/>
          <w:sz w:val="24"/>
          <w:szCs w:val="24"/>
          <w:lang w:val="sr-Latn-CS" w:eastAsia="en-US"/>
        </w:rPr>
      </w:pPr>
      <w:r w:rsidRPr="001975D5">
        <w:rPr>
          <w:rFonts w:ascii="Calibri" w:hAnsi="Calibri" w:cs="Calibri"/>
          <w:sz w:val="24"/>
          <w:szCs w:val="24"/>
          <w:lang w:val="sr-Latn-CS" w:eastAsia="en-US"/>
        </w:rPr>
        <w:t>Priprema finansijskih izvještaja u skladu sa Standardima zahtjeva korišćenje određenih kritičnih računovodstvenih procjena. Takođe, priprema zahtjeva da menadžment Društva za upravljanje primjeni svoju procjenu u procesu primjene računovodstvenih politika Fonda.</w:t>
      </w:r>
    </w:p>
    <w:p w:rsidR="00321C8E" w:rsidRPr="001975D5" w:rsidRDefault="00321C8E" w:rsidP="00321C8E">
      <w:pPr>
        <w:pStyle w:val="BodySingle"/>
        <w:jc w:val="both"/>
        <w:rPr>
          <w:rFonts w:ascii="Calibri" w:hAnsi="Calibri" w:cs="Calibri"/>
          <w:noProof/>
          <w:color w:val="auto"/>
          <w:lang w:val="sr-Latn-RS"/>
        </w:rPr>
      </w:pPr>
      <w:r w:rsidRPr="001975D5">
        <w:rPr>
          <w:rFonts w:ascii="Calibri" w:hAnsi="Calibri" w:cs="Calibri"/>
          <w:color w:val="auto"/>
          <w:lang w:val="sr-Latn-CS"/>
        </w:rPr>
        <w:t xml:space="preserve">MSFI 9 – Finansijski instrumenti koji je stupio na snagu za godišnje periode koji počinju na ili nakon 01. januara 2018. godine  se odnosi na klasifikaciju, mjerenje i prestanak priznavanja finansijske imovine ili obaveza i zamjenio je modele višestruke klasifikacije i mjerenja u MRS 39 </w:t>
      </w:r>
      <w:r w:rsidRPr="001975D5">
        <w:rPr>
          <w:rFonts w:ascii="Calibri" w:hAnsi="Calibri" w:cs="Calibri"/>
          <w:noProof/>
          <w:color w:val="auto"/>
          <w:lang w:val="sr-Latn-RS"/>
        </w:rPr>
        <w:t>“Finansijski instrumenti: priznavanje i odmjeravanje”.</w:t>
      </w:r>
    </w:p>
    <w:p w:rsidR="00321C8E" w:rsidRPr="001975D5" w:rsidRDefault="00321C8E" w:rsidP="00321C8E">
      <w:pPr>
        <w:pStyle w:val="BodySingle"/>
        <w:jc w:val="both"/>
        <w:rPr>
          <w:rFonts w:ascii="Calibri" w:hAnsi="Calibri" w:cs="Calibri"/>
          <w:noProof/>
          <w:color w:val="auto"/>
          <w:lang w:val="sr-Latn-RS"/>
        </w:rPr>
      </w:pPr>
      <w:r w:rsidRPr="001975D5">
        <w:rPr>
          <w:rFonts w:ascii="Calibri" w:hAnsi="Calibri" w:cs="Calibri"/>
          <w:noProof/>
          <w:color w:val="auto"/>
          <w:lang w:val="sr-Latn-RS"/>
        </w:rPr>
        <w:t>Dužnički instrumenti se odmjeravaju po fer vrijednosti kroz ostalu sveobuhvatnu dobit. Cilj poslovnog modela dužničkih instrumenata je držanje finansijske imovine i za prikupljanje ugovorenih novčanih tokova iz SPPI i prodaja. Vlasnički instrumenti se odmjeravaju kroz račun dobitka i gubitka.</w:t>
      </w:r>
    </w:p>
    <w:p w:rsidR="00321C8E" w:rsidRPr="001975D5" w:rsidRDefault="00321C8E" w:rsidP="00321C8E">
      <w:pPr>
        <w:pStyle w:val="Header"/>
        <w:suppressAutoHyphens/>
        <w:jc w:val="both"/>
        <w:rPr>
          <w:rFonts w:ascii="Calibri" w:hAnsi="Calibri" w:cs="Calibri"/>
          <w:sz w:val="24"/>
          <w:szCs w:val="24"/>
          <w:lang w:val="sr-Latn-CS" w:eastAsia="en-US"/>
        </w:rPr>
      </w:pPr>
    </w:p>
    <w:p w:rsidR="00321C8E" w:rsidRPr="001975D5" w:rsidRDefault="00321C8E" w:rsidP="00321C8E">
      <w:pPr>
        <w:pStyle w:val="Header"/>
        <w:suppressAutoHyphens/>
        <w:jc w:val="both"/>
        <w:rPr>
          <w:rFonts w:ascii="Calibri" w:hAnsi="Calibri" w:cs="Calibri"/>
          <w:sz w:val="24"/>
          <w:szCs w:val="24"/>
          <w:lang w:val="sr-Latn-CS" w:eastAsia="en-US"/>
        </w:rPr>
      </w:pPr>
    </w:p>
    <w:p w:rsidR="00321C8E" w:rsidRPr="001975D5" w:rsidRDefault="00321C8E" w:rsidP="00321C8E">
      <w:pPr>
        <w:ind w:left="567" w:hanging="567"/>
        <w:rPr>
          <w:rFonts w:ascii="Trebuchet MS" w:hAnsi="Trebuchet MS" w:cs="Arial"/>
          <w:b/>
          <w:noProof/>
          <w:sz w:val="20"/>
          <w:szCs w:val="20"/>
        </w:rPr>
      </w:pPr>
      <w:r w:rsidRPr="001975D5">
        <w:rPr>
          <w:rFonts w:ascii="Trebuchet MS" w:hAnsi="Trebuchet MS" w:cs="Arial"/>
          <w:b/>
          <w:noProof/>
          <w:sz w:val="20"/>
          <w:szCs w:val="20"/>
        </w:rPr>
        <w:t>2.1.</w:t>
      </w:r>
      <w:r w:rsidRPr="001975D5">
        <w:rPr>
          <w:rFonts w:ascii="Trebuchet MS" w:hAnsi="Trebuchet MS" w:cs="Arial"/>
          <w:b/>
          <w:noProof/>
          <w:sz w:val="20"/>
          <w:szCs w:val="20"/>
        </w:rPr>
        <w:tab/>
        <w:t>Osnove za vrednovanje</w:t>
      </w:r>
    </w:p>
    <w:p w:rsidR="00321C8E" w:rsidRPr="001975D5" w:rsidRDefault="00321C8E" w:rsidP="00321C8E">
      <w:pPr>
        <w:pStyle w:val="Header"/>
        <w:suppressAutoHyphens/>
        <w:jc w:val="both"/>
        <w:rPr>
          <w:rFonts w:ascii="Calibri" w:hAnsi="Calibri" w:cs="Calibri"/>
          <w:sz w:val="24"/>
          <w:szCs w:val="24"/>
          <w:lang w:val="sr-Latn-CS" w:eastAsia="en-US"/>
        </w:rPr>
      </w:pPr>
    </w:p>
    <w:p w:rsidR="00321C8E" w:rsidRPr="001975D5" w:rsidRDefault="00321C8E" w:rsidP="00321C8E">
      <w:pPr>
        <w:pStyle w:val="Header"/>
        <w:suppressAutoHyphens/>
        <w:jc w:val="both"/>
        <w:rPr>
          <w:rFonts w:ascii="Calibri" w:hAnsi="Calibri" w:cs="Calibri"/>
          <w:sz w:val="24"/>
          <w:szCs w:val="24"/>
          <w:lang w:val="sr-Latn-CS" w:eastAsia="en-US"/>
        </w:rPr>
      </w:pPr>
      <w:r w:rsidRPr="001975D5">
        <w:rPr>
          <w:rFonts w:ascii="Calibri" w:hAnsi="Calibri" w:cs="Calibri"/>
          <w:sz w:val="24"/>
          <w:szCs w:val="24"/>
          <w:lang w:val="sr-Latn-CS" w:eastAsia="en-US"/>
        </w:rPr>
        <w:t>Finansijski izvještaji Fonda su sastavljeni prema konceptu nabavne vrijednosti (istorijskog troška).</w:t>
      </w:r>
    </w:p>
    <w:p w:rsidR="00321C8E" w:rsidRPr="001975D5" w:rsidRDefault="00321C8E" w:rsidP="00321C8E">
      <w:pPr>
        <w:pStyle w:val="Header"/>
        <w:suppressAutoHyphens/>
        <w:jc w:val="both"/>
        <w:rPr>
          <w:rFonts w:ascii="Calibri" w:hAnsi="Calibri" w:cs="Calibri"/>
          <w:sz w:val="24"/>
          <w:szCs w:val="24"/>
          <w:lang w:val="sr-Latn-CS" w:eastAsia="en-US"/>
        </w:rPr>
      </w:pPr>
    </w:p>
    <w:p w:rsidR="00321C8E" w:rsidRPr="001975D5" w:rsidRDefault="00321C8E" w:rsidP="00321C8E">
      <w:pPr>
        <w:ind w:left="567" w:hanging="567"/>
        <w:rPr>
          <w:rFonts w:ascii="Trebuchet MS" w:hAnsi="Trebuchet MS" w:cs="Arial"/>
          <w:b/>
          <w:noProof/>
          <w:sz w:val="20"/>
          <w:szCs w:val="20"/>
        </w:rPr>
      </w:pPr>
      <w:r w:rsidRPr="001975D5">
        <w:rPr>
          <w:rFonts w:ascii="Trebuchet MS" w:hAnsi="Trebuchet MS" w:cs="Arial"/>
          <w:b/>
          <w:noProof/>
          <w:sz w:val="20"/>
          <w:szCs w:val="20"/>
        </w:rPr>
        <w:t>2.2.</w:t>
      </w:r>
      <w:r w:rsidRPr="001975D5">
        <w:rPr>
          <w:rFonts w:ascii="Trebuchet MS" w:hAnsi="Trebuchet MS" w:cs="Arial"/>
          <w:b/>
          <w:noProof/>
          <w:sz w:val="20"/>
          <w:szCs w:val="20"/>
        </w:rPr>
        <w:tab/>
        <w:t>Funkcionalna valuta i valuta prezentacija</w:t>
      </w:r>
    </w:p>
    <w:p w:rsidR="00321C8E" w:rsidRPr="001975D5" w:rsidRDefault="00321C8E" w:rsidP="00321C8E">
      <w:pPr>
        <w:pStyle w:val="Header"/>
        <w:suppressAutoHyphens/>
        <w:jc w:val="both"/>
        <w:rPr>
          <w:rFonts w:ascii="Calibri" w:hAnsi="Calibri" w:cs="Calibri"/>
          <w:sz w:val="24"/>
          <w:szCs w:val="24"/>
          <w:lang w:val="sr-Latn-CS" w:eastAsia="en-US"/>
        </w:rPr>
      </w:pPr>
    </w:p>
    <w:p w:rsidR="00321C8E" w:rsidRPr="001975D5" w:rsidRDefault="00321C8E" w:rsidP="00321C8E">
      <w:pPr>
        <w:pStyle w:val="Header"/>
        <w:suppressAutoHyphens/>
        <w:jc w:val="both"/>
        <w:rPr>
          <w:rFonts w:ascii="Calibri" w:hAnsi="Calibri" w:cs="Calibri"/>
          <w:sz w:val="24"/>
          <w:szCs w:val="24"/>
          <w:lang w:val="sr-Latn-CS" w:eastAsia="en-US"/>
        </w:rPr>
      </w:pPr>
      <w:r w:rsidRPr="001975D5">
        <w:rPr>
          <w:rFonts w:ascii="Calibri" w:hAnsi="Calibri" w:cs="Calibri"/>
          <w:sz w:val="24"/>
          <w:szCs w:val="24"/>
          <w:lang w:val="sr-Latn-CS" w:eastAsia="en-US"/>
        </w:rPr>
        <w:t>Iznosi u priloženim finansijskim izveštajima su izraženi u Konvertibilnim markama (KM) koje predstavljaju funkcionalnu i zvaničnu izveštajnu valutu u Republici Srpskoj i Bosni i Hercegovini.</w:t>
      </w:r>
    </w:p>
    <w:p w:rsidR="00321C8E" w:rsidRPr="001975D5" w:rsidRDefault="00321C8E" w:rsidP="00321C8E">
      <w:pPr>
        <w:pStyle w:val="Header"/>
        <w:suppressAutoHyphens/>
        <w:jc w:val="both"/>
        <w:rPr>
          <w:rFonts w:ascii="Calibri" w:hAnsi="Calibri" w:cs="Calibri"/>
          <w:sz w:val="24"/>
          <w:szCs w:val="24"/>
          <w:lang w:val="sr-Latn-CS" w:eastAsia="en-US"/>
        </w:rPr>
      </w:pPr>
    </w:p>
    <w:p w:rsidR="00321C8E" w:rsidRPr="001975D5" w:rsidRDefault="00321C8E" w:rsidP="00321C8E">
      <w:pPr>
        <w:pStyle w:val="Header"/>
        <w:suppressAutoHyphens/>
        <w:jc w:val="both"/>
        <w:rPr>
          <w:rFonts w:ascii="Calibri" w:hAnsi="Calibri" w:cs="Calibri"/>
          <w:sz w:val="24"/>
          <w:szCs w:val="24"/>
          <w:lang w:val="sr-Latn-CS" w:eastAsia="en-US"/>
        </w:rPr>
      </w:pPr>
    </w:p>
    <w:p w:rsidR="00321C8E" w:rsidRPr="001975D5" w:rsidRDefault="00321C8E" w:rsidP="00321C8E">
      <w:pPr>
        <w:pStyle w:val="Header"/>
        <w:suppressAutoHyphens/>
        <w:jc w:val="both"/>
        <w:rPr>
          <w:rFonts w:ascii="Calibri" w:hAnsi="Calibri" w:cs="Calibri"/>
          <w:sz w:val="24"/>
          <w:szCs w:val="24"/>
          <w:lang w:val="sr-Latn-CS" w:eastAsia="en-US"/>
        </w:rPr>
      </w:pPr>
    </w:p>
    <w:p w:rsidR="00321C8E" w:rsidRPr="001975D5" w:rsidRDefault="00321C8E" w:rsidP="00321C8E">
      <w:pPr>
        <w:spacing w:after="120"/>
        <w:rPr>
          <w:rFonts w:ascii="Calibri" w:hAnsi="Calibri" w:cs="Calibri"/>
          <w:b/>
          <w:i/>
          <w:noProof/>
          <w:lang w:val="sr-Latn-RS"/>
        </w:rPr>
      </w:pPr>
      <w:r w:rsidRPr="001975D5">
        <w:rPr>
          <w:rFonts w:ascii="Calibri" w:hAnsi="Calibri" w:cs="Calibri"/>
          <w:b/>
          <w:noProof/>
          <w:lang w:val="sr-Latn-RS"/>
        </w:rPr>
        <w:t>2.3.</w:t>
      </w:r>
      <w:r w:rsidRPr="001975D5">
        <w:rPr>
          <w:rFonts w:ascii="Calibri" w:hAnsi="Calibri" w:cs="Calibri"/>
          <w:b/>
          <w:noProof/>
          <w:lang w:val="sr-Latn-RS"/>
        </w:rPr>
        <w:tab/>
        <w:t>Uticaj i primjena novih revidiranih MRS/MSFI</w:t>
      </w:r>
    </w:p>
    <w:p w:rsidR="00321C8E" w:rsidRPr="001975D5" w:rsidRDefault="00321C8E" w:rsidP="00321C8E">
      <w:pPr>
        <w:outlineLvl w:val="0"/>
        <w:rPr>
          <w:rFonts w:ascii="Calibri" w:hAnsi="Calibri" w:cs="Calibri"/>
          <w:b/>
          <w:bCs/>
          <w:i/>
          <w:iCs/>
          <w:noProof/>
          <w:lang w:val="sr-Latn-RS"/>
        </w:rPr>
      </w:pPr>
      <w:bookmarkStart w:id="4" w:name="_Toc64534430"/>
      <w:r w:rsidRPr="001975D5">
        <w:rPr>
          <w:rFonts w:ascii="Calibri" w:hAnsi="Calibri" w:cs="Calibri"/>
          <w:b/>
          <w:bCs/>
          <w:i/>
          <w:iCs/>
          <w:noProof/>
          <w:lang w:val="sr-Latn-RS"/>
        </w:rPr>
        <w:t>(a)</w:t>
      </w:r>
      <w:r w:rsidRPr="001975D5">
        <w:rPr>
          <w:rFonts w:ascii="Calibri" w:hAnsi="Calibri" w:cs="Calibri"/>
          <w:b/>
          <w:bCs/>
          <w:i/>
          <w:iCs/>
          <w:noProof/>
          <w:lang w:val="sr-Latn-RS"/>
        </w:rPr>
        <w:tab/>
      </w:r>
      <w:r w:rsidRPr="001975D5">
        <w:rPr>
          <w:rFonts w:ascii="Calibri" w:hAnsi="Calibri" w:cs="Calibri"/>
          <w:b/>
          <w:i/>
          <w:iCs/>
          <w:noProof/>
          <w:lang w:val="sr-Latn-RS"/>
        </w:rPr>
        <w:t xml:space="preserve">Novi standardi, </w:t>
      </w:r>
      <w:r w:rsidRPr="001975D5">
        <w:rPr>
          <w:rFonts w:ascii="Calibri" w:hAnsi="Calibri" w:cs="Calibri"/>
          <w:b/>
          <w:i/>
          <w:noProof/>
          <w:lang w:val="sr-Latn-RS"/>
        </w:rPr>
        <w:t>tumačenja</w:t>
      </w:r>
      <w:r w:rsidRPr="001975D5">
        <w:rPr>
          <w:rFonts w:ascii="Calibri" w:hAnsi="Calibri" w:cs="Calibri"/>
          <w:b/>
          <w:i/>
          <w:iCs/>
          <w:noProof/>
          <w:lang w:val="sr-Latn-RS"/>
        </w:rPr>
        <w:t xml:space="preserve"> i izmjene postojećih standarda </w:t>
      </w:r>
      <w:r w:rsidRPr="001975D5">
        <w:rPr>
          <w:rFonts w:ascii="Calibri" w:hAnsi="Calibri" w:cs="Calibri"/>
          <w:b/>
          <w:bCs/>
          <w:i/>
          <w:iCs/>
          <w:noProof/>
          <w:lang w:val="sr-Latn-RS"/>
        </w:rPr>
        <w:t>na snazi u tekućem periodu koji su zvanično prevedeni i usvojeni u Republici Srpskoj</w:t>
      </w:r>
      <w:bookmarkEnd w:id="4"/>
    </w:p>
    <w:p w:rsidR="00321C8E" w:rsidRPr="001975D5" w:rsidRDefault="00321C8E" w:rsidP="00321C8E">
      <w:pPr>
        <w:rPr>
          <w:rFonts w:ascii="Calibri" w:hAnsi="Calibri" w:cs="Calibri"/>
          <w:noProof/>
          <w:lang w:val="sr-Latn-RS"/>
        </w:rPr>
      </w:pPr>
    </w:p>
    <w:p w:rsidR="00321C8E" w:rsidRPr="001975D5" w:rsidRDefault="00321C8E" w:rsidP="00321C8E">
      <w:pPr>
        <w:pStyle w:val="BodySingle"/>
        <w:numPr>
          <w:ilvl w:val="0"/>
          <w:numId w:val="43"/>
        </w:numPr>
        <w:tabs>
          <w:tab w:val="clear" w:pos="927"/>
        </w:tabs>
        <w:ind w:left="426" w:hanging="426"/>
        <w:jc w:val="both"/>
        <w:rPr>
          <w:rFonts w:ascii="Calibri" w:hAnsi="Calibri" w:cs="Calibri"/>
          <w:noProof/>
          <w:color w:val="auto"/>
          <w:lang w:val="sr-Latn-RS"/>
        </w:rPr>
      </w:pPr>
      <w:r w:rsidRPr="001975D5">
        <w:rPr>
          <w:rFonts w:ascii="Calibri" w:hAnsi="Calibri" w:cs="Calibri"/>
          <w:noProof/>
          <w:color w:val="auto"/>
          <w:lang w:val="sr-Latn-RS"/>
        </w:rPr>
        <w:t>Izmjene MRS 32 “Finansijski instrumenti: prezentacija” - Prebijanje finansijskih sredstava i finansijskih obaveza (na snazi za godišnje periode koji počinju na dan ili nakon 1. januara 2014. godine);</w:t>
      </w:r>
    </w:p>
    <w:p w:rsidR="00321C8E" w:rsidRPr="001975D5" w:rsidRDefault="00321C8E" w:rsidP="00321C8E">
      <w:pPr>
        <w:pStyle w:val="BodySingle"/>
        <w:numPr>
          <w:ilvl w:val="0"/>
          <w:numId w:val="43"/>
        </w:numPr>
        <w:tabs>
          <w:tab w:val="clear" w:pos="927"/>
        </w:tabs>
        <w:ind w:left="426" w:hanging="426"/>
        <w:jc w:val="both"/>
        <w:rPr>
          <w:rFonts w:ascii="Calibri" w:hAnsi="Calibri" w:cs="Calibri"/>
          <w:noProof/>
          <w:color w:val="auto"/>
          <w:lang w:val="sr-Latn-RS"/>
        </w:rPr>
      </w:pPr>
      <w:r w:rsidRPr="001975D5">
        <w:rPr>
          <w:rFonts w:ascii="Calibri" w:hAnsi="Calibri" w:cs="Calibri"/>
          <w:noProof/>
          <w:color w:val="auto"/>
          <w:lang w:val="sr-Latn-RS"/>
        </w:rPr>
        <w:t>Izmjene MSFI 10 „Konsolidovani finansijski izvještaji“, MSFI 12 i MRS 27 - Investicioni entiteti (na snazi za godišnje periode koji počinju na dan ili nakon 1. januara 2014. godine);</w:t>
      </w:r>
    </w:p>
    <w:p w:rsidR="00321C8E" w:rsidRPr="001975D5" w:rsidRDefault="00321C8E" w:rsidP="00321C8E">
      <w:pPr>
        <w:pStyle w:val="BodySingle"/>
        <w:numPr>
          <w:ilvl w:val="0"/>
          <w:numId w:val="43"/>
        </w:numPr>
        <w:tabs>
          <w:tab w:val="clear" w:pos="927"/>
        </w:tabs>
        <w:ind w:left="426" w:hanging="426"/>
        <w:jc w:val="both"/>
        <w:rPr>
          <w:rFonts w:ascii="Calibri" w:hAnsi="Calibri" w:cs="Calibri"/>
          <w:noProof/>
          <w:color w:val="auto"/>
          <w:lang w:val="sr-Latn-RS"/>
        </w:rPr>
      </w:pPr>
      <w:r w:rsidRPr="001975D5">
        <w:rPr>
          <w:rFonts w:ascii="Calibri" w:hAnsi="Calibri" w:cs="Calibri"/>
          <w:noProof/>
          <w:color w:val="auto"/>
          <w:lang w:val="sr-Latn-RS"/>
        </w:rPr>
        <w:t xml:space="preserve">Izmjene MRS 36 “Umanjenje vrijednosti imovine” - Objelodanjivanja o nadoknadivom iznosu nefinansijskih sredstava (na snazi za godišnje periode koji počinju na dan ili nakon 1. januara 2014. godine); </w:t>
      </w:r>
    </w:p>
    <w:p w:rsidR="00321C8E" w:rsidRPr="001975D5" w:rsidRDefault="00321C8E" w:rsidP="00321C8E">
      <w:pPr>
        <w:pStyle w:val="BodySingle"/>
        <w:numPr>
          <w:ilvl w:val="0"/>
          <w:numId w:val="43"/>
        </w:numPr>
        <w:tabs>
          <w:tab w:val="clear" w:pos="927"/>
        </w:tabs>
        <w:ind w:left="426" w:hanging="426"/>
        <w:jc w:val="both"/>
        <w:rPr>
          <w:rFonts w:ascii="Calibri" w:hAnsi="Calibri" w:cs="Calibri"/>
          <w:noProof/>
          <w:color w:val="auto"/>
          <w:lang w:val="sr-Latn-RS"/>
        </w:rPr>
      </w:pPr>
      <w:r w:rsidRPr="001975D5">
        <w:rPr>
          <w:rFonts w:ascii="Calibri" w:hAnsi="Calibri" w:cs="Calibri"/>
          <w:noProof/>
          <w:color w:val="auto"/>
          <w:lang w:val="sr-Latn-RS"/>
        </w:rPr>
        <w:t>Izmjene MRS 39 “Finansijski instrumenti: priznavanje i odmjeravanje” – Novacija derivata i nastavak računovodstva hedžinga (na snazi za godišnje periode koji počinju na dan ili nakon 1. januara 2014. godine);</w:t>
      </w:r>
    </w:p>
    <w:p w:rsidR="00321C8E" w:rsidRPr="001975D5" w:rsidRDefault="00321C8E" w:rsidP="00321C8E">
      <w:pPr>
        <w:pStyle w:val="BodySingle"/>
        <w:numPr>
          <w:ilvl w:val="0"/>
          <w:numId w:val="43"/>
        </w:numPr>
        <w:tabs>
          <w:tab w:val="clear" w:pos="927"/>
        </w:tabs>
        <w:ind w:left="426" w:hanging="426"/>
        <w:jc w:val="both"/>
        <w:rPr>
          <w:rFonts w:ascii="Calibri" w:hAnsi="Calibri" w:cs="Calibri"/>
          <w:noProof/>
          <w:color w:val="auto"/>
          <w:lang w:val="sr-Latn-RS"/>
        </w:rPr>
      </w:pPr>
      <w:r w:rsidRPr="001975D5">
        <w:rPr>
          <w:rFonts w:ascii="Calibri" w:hAnsi="Calibri" w:cs="Calibri"/>
          <w:noProof/>
          <w:color w:val="auto"/>
          <w:lang w:val="sr-Latn-RS"/>
        </w:rPr>
        <w:t>IFRIC 21 “Dažbine” (na snazi za godišnje periode koji počinju na dan ili nakon 1. januara 2014. godine);</w:t>
      </w:r>
    </w:p>
    <w:p w:rsidR="00321C8E" w:rsidRPr="001975D5" w:rsidRDefault="00321C8E" w:rsidP="00321C8E">
      <w:pPr>
        <w:pStyle w:val="BodySingle"/>
        <w:numPr>
          <w:ilvl w:val="0"/>
          <w:numId w:val="43"/>
        </w:numPr>
        <w:tabs>
          <w:tab w:val="clear" w:pos="927"/>
        </w:tabs>
        <w:ind w:left="426" w:hanging="426"/>
        <w:jc w:val="both"/>
        <w:rPr>
          <w:rFonts w:ascii="Calibri" w:hAnsi="Calibri" w:cs="Calibri"/>
          <w:noProof/>
          <w:color w:val="auto"/>
          <w:lang w:val="sr-Latn-RS"/>
        </w:rPr>
      </w:pPr>
      <w:r w:rsidRPr="001975D5">
        <w:rPr>
          <w:rFonts w:ascii="Calibri" w:hAnsi="Calibri" w:cs="Calibri"/>
          <w:noProof/>
          <w:color w:val="auto"/>
          <w:lang w:val="sr-Latn-RS"/>
        </w:rPr>
        <w:t>Izmjene različitih standarda (MSFI 2, MSFI 3, MSFI 8, MSFI 13, MRS 16, MRS 24 i MRS 38) koje su rezultat projekta godišnjeg unapređenja standarda, “Ciklus 2010-2012”, objavljenog od strane IASB-a u decembru 2013. godine, prvenstveno kroz otklanjanje nekonzistentnosti i pojašnjenje teksta (na snazi za godišnje periode koji počinju na dan ili nakon 1. jula 2014. godine);</w:t>
      </w:r>
    </w:p>
    <w:p w:rsidR="00321C8E" w:rsidRPr="001975D5" w:rsidRDefault="00321C8E" w:rsidP="00321C8E">
      <w:pPr>
        <w:pStyle w:val="BodySingle"/>
        <w:numPr>
          <w:ilvl w:val="0"/>
          <w:numId w:val="43"/>
        </w:numPr>
        <w:tabs>
          <w:tab w:val="clear" w:pos="927"/>
        </w:tabs>
        <w:ind w:left="426" w:hanging="426"/>
        <w:jc w:val="both"/>
        <w:rPr>
          <w:rFonts w:ascii="Calibri" w:hAnsi="Calibri" w:cs="Calibri"/>
          <w:noProof/>
          <w:color w:val="auto"/>
          <w:lang w:val="sr-Latn-RS"/>
        </w:rPr>
      </w:pPr>
      <w:r w:rsidRPr="001975D5">
        <w:rPr>
          <w:rFonts w:ascii="Calibri" w:hAnsi="Calibri" w:cs="Calibri"/>
          <w:noProof/>
          <w:color w:val="auto"/>
          <w:lang w:val="sr-Latn-RS"/>
        </w:rPr>
        <w:t xml:space="preserve">Izmjene različitih standarda (MSFI 1, MSFI 3, MSFI 13 i MRS 40) koje su rezultat projekta godišnjeg unapređenja standarda, “Ciklus 2011-2013”, objavljenog od strane IASB-a u </w:t>
      </w:r>
    </w:p>
    <w:p w:rsidR="00321C8E" w:rsidRPr="001975D5" w:rsidRDefault="00321C8E" w:rsidP="00321C8E">
      <w:pPr>
        <w:pStyle w:val="BodySingle"/>
        <w:numPr>
          <w:ilvl w:val="0"/>
          <w:numId w:val="43"/>
        </w:numPr>
        <w:tabs>
          <w:tab w:val="clear" w:pos="927"/>
        </w:tabs>
        <w:ind w:left="426" w:hanging="426"/>
        <w:jc w:val="both"/>
        <w:rPr>
          <w:rFonts w:ascii="Calibri" w:hAnsi="Calibri" w:cs="Calibri"/>
          <w:noProof/>
          <w:color w:val="auto"/>
          <w:lang w:val="sr-Latn-RS"/>
        </w:rPr>
      </w:pPr>
      <w:r w:rsidRPr="001975D5">
        <w:rPr>
          <w:rFonts w:ascii="Calibri" w:hAnsi="Calibri" w:cs="Calibri"/>
          <w:noProof/>
          <w:color w:val="auto"/>
          <w:lang w:val="sr-Latn-RS"/>
        </w:rPr>
        <w:t>decembru 2013. godine, prvenstveno kroz otklanjanje nekonzistentnosti i pojašnjenje teksta (na snazi za godišnje periode koji počinju na dan ili nakon 1. jula 2014. godine);</w:t>
      </w:r>
    </w:p>
    <w:p w:rsidR="00321C8E" w:rsidRPr="001975D5" w:rsidRDefault="00321C8E" w:rsidP="00321C8E">
      <w:pPr>
        <w:pStyle w:val="BodySingle"/>
        <w:numPr>
          <w:ilvl w:val="0"/>
          <w:numId w:val="43"/>
        </w:numPr>
        <w:tabs>
          <w:tab w:val="clear" w:pos="927"/>
        </w:tabs>
        <w:ind w:left="426" w:hanging="426"/>
        <w:jc w:val="both"/>
        <w:rPr>
          <w:rFonts w:ascii="Calibri" w:hAnsi="Calibri" w:cs="Calibri"/>
          <w:noProof/>
          <w:color w:val="auto"/>
          <w:lang w:val="sr-Latn-RS"/>
        </w:rPr>
      </w:pPr>
      <w:r w:rsidRPr="001975D5">
        <w:rPr>
          <w:rFonts w:ascii="Calibri" w:hAnsi="Calibri" w:cs="Calibri"/>
          <w:noProof/>
          <w:color w:val="auto"/>
          <w:lang w:val="sr-Latn-RS"/>
        </w:rPr>
        <w:t>Izmjene MRS 19 “Primanja zaposlenih” - Definisani planovi doprinosa (na snazi za godišnje periode koji počinju na dan ili nakon 1. jula 2014. godine);</w:t>
      </w:r>
    </w:p>
    <w:p w:rsidR="00321C8E" w:rsidRPr="001975D5" w:rsidRDefault="00321C8E" w:rsidP="00321C8E">
      <w:pPr>
        <w:pStyle w:val="BodySingle"/>
        <w:numPr>
          <w:ilvl w:val="0"/>
          <w:numId w:val="43"/>
        </w:numPr>
        <w:tabs>
          <w:tab w:val="clear" w:pos="927"/>
        </w:tabs>
        <w:ind w:left="426" w:hanging="426"/>
        <w:jc w:val="both"/>
        <w:rPr>
          <w:rFonts w:ascii="Calibri" w:hAnsi="Calibri" w:cs="Calibri"/>
          <w:noProof/>
          <w:color w:val="auto"/>
          <w:lang w:val="sr-Latn-RS"/>
        </w:rPr>
      </w:pPr>
      <w:r w:rsidRPr="001975D5">
        <w:rPr>
          <w:rFonts w:ascii="Calibri" w:hAnsi="Calibri" w:cs="Calibri"/>
          <w:noProof/>
          <w:color w:val="auto"/>
          <w:lang w:val="sr-Latn-RS"/>
        </w:rPr>
        <w:t xml:space="preserve">Izmjene različitih standarda (MSFI 5, MSFI 7, MRS 19 i MRS 34) koje su rezultat projekta godišnjeg unapređenja standarda, “Ciklus 2012-2014”, objavljenog od strane IASB-a u </w:t>
      </w:r>
      <w:r w:rsidRPr="001975D5">
        <w:rPr>
          <w:rFonts w:ascii="Calibri" w:hAnsi="Calibri" w:cs="Calibri"/>
          <w:noProof/>
          <w:color w:val="auto"/>
          <w:lang w:val="sr-Latn-RS"/>
        </w:rPr>
        <w:lastRenderedPageBreak/>
        <w:t>septembru 2014. godine, prvenstveno kroz otklanjanje nekonzistentnosti i pojašnjenje teksta (na snazi za godišnje periode koji počinju na dan ili nakon 1. januara 2016. godine);</w:t>
      </w:r>
    </w:p>
    <w:p w:rsidR="00321C8E" w:rsidRPr="001975D5" w:rsidRDefault="00321C8E" w:rsidP="00321C8E">
      <w:pPr>
        <w:pStyle w:val="BodySingle"/>
        <w:numPr>
          <w:ilvl w:val="0"/>
          <w:numId w:val="43"/>
        </w:numPr>
        <w:tabs>
          <w:tab w:val="clear" w:pos="927"/>
        </w:tabs>
        <w:ind w:left="426" w:hanging="426"/>
        <w:jc w:val="both"/>
        <w:rPr>
          <w:rFonts w:ascii="Calibri" w:hAnsi="Calibri" w:cs="Calibri"/>
          <w:noProof/>
          <w:color w:val="auto"/>
          <w:lang w:val="sr-Latn-RS"/>
        </w:rPr>
      </w:pPr>
      <w:r w:rsidRPr="001975D5">
        <w:rPr>
          <w:rFonts w:ascii="Calibri" w:hAnsi="Calibri" w:cs="Calibri"/>
          <w:noProof/>
          <w:color w:val="auto"/>
          <w:lang w:val="sr-Latn-RS"/>
        </w:rPr>
        <w:t>Izmjene MSFI 11 “Zajednički aranžmani” - Računovodstveno obuhvatanje sticanja interesa u zajedničkim aranžmanima (na snazi za godišnje periode koji počinju na dan ili nakon 1. januara 2016. godine);</w:t>
      </w:r>
    </w:p>
    <w:p w:rsidR="00321C8E" w:rsidRPr="001975D5" w:rsidRDefault="00321C8E" w:rsidP="00321C8E">
      <w:pPr>
        <w:pStyle w:val="BodySingle"/>
        <w:numPr>
          <w:ilvl w:val="0"/>
          <w:numId w:val="43"/>
        </w:numPr>
        <w:tabs>
          <w:tab w:val="clear" w:pos="927"/>
        </w:tabs>
        <w:ind w:left="426" w:hanging="426"/>
        <w:jc w:val="both"/>
        <w:rPr>
          <w:rFonts w:ascii="Calibri" w:hAnsi="Calibri" w:cs="Calibri"/>
          <w:noProof/>
          <w:color w:val="auto"/>
          <w:lang w:val="sr-Latn-RS"/>
        </w:rPr>
      </w:pPr>
      <w:r w:rsidRPr="001975D5">
        <w:rPr>
          <w:rFonts w:ascii="Calibri" w:hAnsi="Calibri" w:cs="Calibri"/>
          <w:noProof/>
          <w:color w:val="auto"/>
          <w:lang w:val="sr-Latn-RS"/>
        </w:rPr>
        <w:t>Izmjene MRS 1 „Prezentacija finansijskih izveštaja“ - Inicijativa u vezi objelodanjivanja (na snazi za godišnje periode koji počinju na dan ili nakon 1. januara 2016. godine);</w:t>
      </w:r>
    </w:p>
    <w:p w:rsidR="00321C8E" w:rsidRPr="001975D5" w:rsidRDefault="00321C8E" w:rsidP="00321C8E">
      <w:pPr>
        <w:pStyle w:val="BodySingle"/>
        <w:numPr>
          <w:ilvl w:val="0"/>
          <w:numId w:val="43"/>
        </w:numPr>
        <w:tabs>
          <w:tab w:val="clear" w:pos="927"/>
        </w:tabs>
        <w:ind w:left="426" w:hanging="426"/>
        <w:jc w:val="both"/>
        <w:rPr>
          <w:rFonts w:ascii="Calibri" w:hAnsi="Calibri" w:cs="Calibri"/>
          <w:noProof/>
          <w:color w:val="auto"/>
          <w:lang w:val="sr-Latn-RS"/>
        </w:rPr>
      </w:pPr>
      <w:r w:rsidRPr="001975D5">
        <w:rPr>
          <w:rFonts w:ascii="Calibri" w:hAnsi="Calibri" w:cs="Calibri"/>
          <w:noProof/>
          <w:color w:val="auto"/>
          <w:lang w:val="sr-Latn-RS"/>
        </w:rPr>
        <w:t>Izmjene MRS 16 „Nekretnine, postrojenja i oprema“ i MRS 38 „Nematerijalna ulaganja“ - Pojašnjenje prihvatljivih metoda amortizacije (na snazi za godišnje periode koji počinju na dan ili nakon 1. januara 2016. godine);</w:t>
      </w:r>
    </w:p>
    <w:p w:rsidR="00321C8E" w:rsidRPr="001975D5" w:rsidRDefault="00321C8E" w:rsidP="00321C8E">
      <w:pPr>
        <w:pStyle w:val="BodySingle"/>
        <w:numPr>
          <w:ilvl w:val="0"/>
          <w:numId w:val="43"/>
        </w:numPr>
        <w:tabs>
          <w:tab w:val="clear" w:pos="927"/>
        </w:tabs>
        <w:ind w:left="426" w:hanging="426"/>
        <w:jc w:val="both"/>
        <w:rPr>
          <w:rFonts w:ascii="Calibri" w:hAnsi="Calibri" w:cs="Calibri"/>
          <w:noProof/>
          <w:color w:val="auto"/>
          <w:lang w:val="sr-Latn-RS"/>
        </w:rPr>
      </w:pPr>
      <w:r w:rsidRPr="001975D5">
        <w:rPr>
          <w:rFonts w:ascii="Calibri" w:hAnsi="Calibri" w:cs="Calibri"/>
          <w:noProof/>
          <w:color w:val="auto"/>
          <w:lang w:val="sr-Latn-RS"/>
        </w:rPr>
        <w:t>Izmjene MRS 16 „Nekretnine, postrojenja i oprema“ i MRS 41 „Poljoprivreda“ - Poljoprivreda: Zasadi kao osnovna biološka sredstva (na snazi za godišnje periode koji počinju na dan ili nakon 1. januara 2016. godine);</w:t>
      </w:r>
    </w:p>
    <w:p w:rsidR="00321C8E" w:rsidRPr="001975D5" w:rsidRDefault="00321C8E" w:rsidP="00321C8E">
      <w:pPr>
        <w:pStyle w:val="BodySingle"/>
        <w:ind w:left="426" w:hanging="426"/>
        <w:jc w:val="both"/>
        <w:rPr>
          <w:rFonts w:ascii="Calibri" w:hAnsi="Calibri" w:cs="Calibri"/>
          <w:noProof/>
          <w:color w:val="auto"/>
          <w:lang w:val="sr-Latn-RS"/>
        </w:rPr>
      </w:pPr>
    </w:p>
    <w:p w:rsidR="00321C8E" w:rsidRPr="001975D5" w:rsidRDefault="00321C8E" w:rsidP="00321C8E">
      <w:pPr>
        <w:pStyle w:val="BodySingle"/>
        <w:numPr>
          <w:ilvl w:val="0"/>
          <w:numId w:val="43"/>
        </w:numPr>
        <w:tabs>
          <w:tab w:val="clear" w:pos="927"/>
        </w:tabs>
        <w:ind w:left="426" w:hanging="426"/>
        <w:jc w:val="both"/>
        <w:rPr>
          <w:rFonts w:ascii="Calibri" w:hAnsi="Calibri" w:cs="Calibri"/>
          <w:noProof/>
          <w:color w:val="auto"/>
          <w:lang w:val="sr-Latn-RS"/>
        </w:rPr>
      </w:pPr>
      <w:r w:rsidRPr="001975D5">
        <w:rPr>
          <w:rFonts w:ascii="Calibri" w:hAnsi="Calibri" w:cs="Calibri"/>
          <w:noProof/>
          <w:color w:val="auto"/>
          <w:lang w:val="sr-Latn-RS"/>
        </w:rPr>
        <w:t>Izmjene MRS 27 „Pojedinačni finansijski izvještaji“ - Metod udjela u pojedinačnim finansijskim izvještajima (na snazi za godišnje periode koji počinju na dan ili nakon 1. januara 2016. godine);</w:t>
      </w:r>
    </w:p>
    <w:p w:rsidR="00321C8E" w:rsidRPr="001975D5" w:rsidRDefault="00321C8E" w:rsidP="00321C8E">
      <w:pPr>
        <w:pStyle w:val="BodySingle"/>
        <w:numPr>
          <w:ilvl w:val="0"/>
          <w:numId w:val="43"/>
        </w:numPr>
        <w:tabs>
          <w:tab w:val="clear" w:pos="927"/>
        </w:tabs>
        <w:ind w:left="426" w:hanging="426"/>
        <w:jc w:val="both"/>
        <w:rPr>
          <w:rFonts w:ascii="Calibri" w:hAnsi="Calibri" w:cs="Calibri"/>
          <w:noProof/>
          <w:color w:val="auto"/>
          <w:lang w:val="sr-Latn-RS"/>
        </w:rPr>
      </w:pPr>
      <w:r w:rsidRPr="001975D5">
        <w:rPr>
          <w:rFonts w:ascii="Calibri" w:hAnsi="Calibri" w:cs="Calibri"/>
          <w:noProof/>
          <w:color w:val="auto"/>
          <w:lang w:val="sr-Latn-RS"/>
        </w:rPr>
        <w:t>Izmjene MRS 28 „Ulaganja u pridružene entitete i zajedničke poduhvate“ i MSFI 10 „Konsolidovani finansijski izvještaji“ - Prodaja ili unos imovine između investitora i njegovog pridruženog entiteta ili zajedničkog poduhvata (na snazi za godišnje periode koji počinju na dan ili nakon 1. januara 2016. godine);</w:t>
      </w:r>
    </w:p>
    <w:p w:rsidR="00321C8E" w:rsidRPr="001975D5" w:rsidRDefault="00321C8E" w:rsidP="00321C8E">
      <w:pPr>
        <w:pStyle w:val="BodySingle"/>
        <w:numPr>
          <w:ilvl w:val="0"/>
          <w:numId w:val="43"/>
        </w:numPr>
        <w:tabs>
          <w:tab w:val="clear" w:pos="927"/>
        </w:tabs>
        <w:ind w:left="426" w:hanging="426"/>
        <w:jc w:val="both"/>
        <w:rPr>
          <w:rFonts w:ascii="Calibri" w:hAnsi="Calibri" w:cs="Calibri"/>
          <w:noProof/>
          <w:color w:val="auto"/>
          <w:lang w:val="sr-Latn-RS"/>
        </w:rPr>
      </w:pPr>
      <w:r w:rsidRPr="001975D5">
        <w:rPr>
          <w:rFonts w:ascii="Calibri" w:hAnsi="Calibri" w:cs="Calibri"/>
          <w:noProof/>
          <w:color w:val="auto"/>
          <w:lang w:val="sr-Latn-RS"/>
        </w:rPr>
        <w:t>Investicioni entiteti: Primjena izuzeća od konsolidovanja (izmjene MSFI 10, MSFI 12 I MRS 28) (na snazi za godišnje periode koji počinju na dan ili nakon 1. januara 2016. godine);</w:t>
      </w:r>
    </w:p>
    <w:p w:rsidR="00321C8E" w:rsidRPr="001975D5" w:rsidRDefault="00321C8E" w:rsidP="00321C8E">
      <w:pPr>
        <w:pStyle w:val="BodySingle"/>
        <w:numPr>
          <w:ilvl w:val="0"/>
          <w:numId w:val="43"/>
        </w:numPr>
        <w:tabs>
          <w:tab w:val="clear" w:pos="927"/>
        </w:tabs>
        <w:ind w:left="426" w:hanging="426"/>
        <w:jc w:val="both"/>
        <w:rPr>
          <w:rFonts w:ascii="Calibri" w:hAnsi="Calibri" w:cs="Calibri"/>
          <w:noProof/>
          <w:color w:val="auto"/>
          <w:lang w:val="sr-Latn-RS"/>
        </w:rPr>
      </w:pPr>
      <w:r w:rsidRPr="001975D5">
        <w:rPr>
          <w:rFonts w:ascii="Calibri" w:hAnsi="Calibri" w:cs="Calibri"/>
          <w:noProof/>
          <w:color w:val="auto"/>
          <w:lang w:val="sr-Latn-RS"/>
        </w:rPr>
        <w:t>MSFI 14 “Regulatorni računi razgraničenja” (na snazi za godišnje periode koji počinju na dan ili nakon 1. januara 2016. godine);</w:t>
      </w:r>
    </w:p>
    <w:p w:rsidR="00321C8E" w:rsidRPr="001975D5" w:rsidRDefault="00321C8E" w:rsidP="00321C8E">
      <w:pPr>
        <w:pStyle w:val="BodySingle"/>
        <w:numPr>
          <w:ilvl w:val="0"/>
          <w:numId w:val="43"/>
        </w:numPr>
        <w:tabs>
          <w:tab w:val="clear" w:pos="927"/>
        </w:tabs>
        <w:ind w:left="426" w:hanging="426"/>
        <w:jc w:val="both"/>
        <w:rPr>
          <w:rFonts w:ascii="Calibri" w:hAnsi="Calibri" w:cs="Calibri"/>
          <w:noProof/>
          <w:color w:val="auto"/>
          <w:lang w:val="sr-Latn-RS"/>
        </w:rPr>
      </w:pPr>
      <w:r w:rsidRPr="001975D5">
        <w:rPr>
          <w:rFonts w:ascii="Calibri" w:hAnsi="Calibri" w:cs="Calibri"/>
          <w:noProof/>
          <w:color w:val="auto"/>
          <w:lang w:val="sr-Latn-RS"/>
        </w:rPr>
        <w:t>Izmjene MRS 12 “Porez na dobit” – Priznavanje odloženih poreskih sredstava za neiskorišćene gubitke (na snazi za godišnje periode koji počinju na dan ili nakon 1. januara 2017. godine);</w:t>
      </w:r>
    </w:p>
    <w:p w:rsidR="00321C8E" w:rsidRPr="001975D5" w:rsidRDefault="00321C8E" w:rsidP="00321C8E">
      <w:pPr>
        <w:pStyle w:val="BodySingle"/>
        <w:numPr>
          <w:ilvl w:val="0"/>
          <w:numId w:val="43"/>
        </w:numPr>
        <w:tabs>
          <w:tab w:val="clear" w:pos="927"/>
        </w:tabs>
        <w:ind w:left="426" w:hanging="426"/>
        <w:jc w:val="both"/>
        <w:rPr>
          <w:rFonts w:ascii="Calibri" w:hAnsi="Calibri" w:cs="Calibri"/>
          <w:noProof/>
          <w:color w:val="auto"/>
          <w:lang w:val="sr-Latn-RS"/>
        </w:rPr>
      </w:pPr>
      <w:r w:rsidRPr="001975D5">
        <w:rPr>
          <w:rFonts w:ascii="Calibri" w:hAnsi="Calibri" w:cs="Calibri"/>
          <w:noProof/>
          <w:color w:val="auto"/>
          <w:lang w:val="sr-Latn-RS"/>
        </w:rPr>
        <w:t>Izmjene MRS 7 “Izvještaj o tokovima gotovine” – Inicijativa za objelodanjivanjima (na snazi za godišnje periode koji počinju na dan ili nakon 1. januara 2017. godine);</w:t>
      </w:r>
    </w:p>
    <w:p w:rsidR="00321C8E" w:rsidRPr="001975D5" w:rsidRDefault="00321C8E" w:rsidP="00321C8E">
      <w:pPr>
        <w:pStyle w:val="BodySingle"/>
        <w:numPr>
          <w:ilvl w:val="0"/>
          <w:numId w:val="43"/>
        </w:numPr>
        <w:tabs>
          <w:tab w:val="clear" w:pos="927"/>
        </w:tabs>
        <w:ind w:left="426" w:hanging="426"/>
        <w:jc w:val="both"/>
        <w:rPr>
          <w:rFonts w:ascii="Calibri" w:hAnsi="Calibri" w:cs="Calibri"/>
          <w:noProof/>
          <w:color w:val="auto"/>
          <w:lang w:val="sr-Latn-RS"/>
        </w:rPr>
      </w:pPr>
      <w:r w:rsidRPr="001975D5">
        <w:rPr>
          <w:rFonts w:ascii="Calibri" w:hAnsi="Calibri" w:cs="Calibri"/>
          <w:noProof/>
          <w:color w:val="auto"/>
          <w:lang w:val="sr-Latn-RS"/>
        </w:rPr>
        <w:t>Izmjene MRS 12 “Porez na dobit” nastale kao rezultat godišnjeg projekta unapređenja standarda “Ciklus 2014 – 2016”, izdatim od strane IASB-a u decembru 2016. godine (na snazi za godišnje periode koji počinju na dan ili nakon 1. januara 2017. godine);</w:t>
      </w:r>
    </w:p>
    <w:p w:rsidR="00321C8E" w:rsidRPr="001975D5" w:rsidRDefault="00321C8E" w:rsidP="00321C8E">
      <w:pPr>
        <w:pStyle w:val="BodySingle"/>
        <w:numPr>
          <w:ilvl w:val="0"/>
          <w:numId w:val="43"/>
        </w:numPr>
        <w:tabs>
          <w:tab w:val="clear" w:pos="927"/>
        </w:tabs>
        <w:ind w:left="426" w:hanging="426"/>
        <w:jc w:val="both"/>
        <w:rPr>
          <w:rFonts w:ascii="Calibri" w:hAnsi="Calibri" w:cs="Calibri"/>
          <w:noProof/>
          <w:color w:val="auto"/>
          <w:lang w:val="sr-Latn-RS"/>
        </w:rPr>
      </w:pPr>
      <w:r w:rsidRPr="001975D5">
        <w:rPr>
          <w:rFonts w:ascii="Calibri" w:hAnsi="Calibri" w:cs="Calibri"/>
          <w:noProof/>
          <w:color w:val="auto"/>
          <w:lang w:val="sr-Latn-RS"/>
        </w:rPr>
        <w:t>Konceptualni okvir za finansijsko izvještavanje 2018 (izdat u martu 2018. godine, nema naveden datum promjene, prema tome, na snazi od momenta objavljivanja);</w:t>
      </w:r>
    </w:p>
    <w:p w:rsidR="00321C8E" w:rsidRPr="001975D5" w:rsidRDefault="00321C8E" w:rsidP="00321C8E">
      <w:pPr>
        <w:pStyle w:val="BodySingle"/>
        <w:numPr>
          <w:ilvl w:val="0"/>
          <w:numId w:val="43"/>
        </w:numPr>
        <w:tabs>
          <w:tab w:val="clear" w:pos="927"/>
        </w:tabs>
        <w:ind w:left="426" w:hanging="426"/>
        <w:jc w:val="both"/>
        <w:rPr>
          <w:rFonts w:ascii="Calibri" w:hAnsi="Calibri" w:cs="Calibri"/>
          <w:noProof/>
          <w:color w:val="auto"/>
          <w:lang w:val="sr-Latn-RS"/>
        </w:rPr>
      </w:pPr>
      <w:r w:rsidRPr="001975D5">
        <w:rPr>
          <w:rFonts w:ascii="Calibri" w:hAnsi="Calibri" w:cs="Calibri"/>
          <w:noProof/>
          <w:color w:val="auto"/>
          <w:lang w:val="sr-Latn-RS"/>
        </w:rPr>
        <w:t>Izmjene MRS 40 “Investicione nekretnine” u vezi transfera investicionih nekretnina (na snazi za godišnje periode koji počinju na dan ili nakon 1. januara 2018. godine);</w:t>
      </w:r>
    </w:p>
    <w:p w:rsidR="00321C8E" w:rsidRPr="001975D5" w:rsidRDefault="00321C8E" w:rsidP="00321C8E">
      <w:pPr>
        <w:pStyle w:val="BodySingle"/>
        <w:numPr>
          <w:ilvl w:val="0"/>
          <w:numId w:val="43"/>
        </w:numPr>
        <w:tabs>
          <w:tab w:val="clear" w:pos="927"/>
        </w:tabs>
        <w:ind w:left="426" w:hanging="426"/>
        <w:jc w:val="both"/>
        <w:rPr>
          <w:rFonts w:ascii="Calibri" w:hAnsi="Calibri" w:cs="Calibri"/>
          <w:noProof/>
          <w:color w:val="auto"/>
          <w:lang w:val="sr-Latn-RS"/>
        </w:rPr>
      </w:pPr>
      <w:r w:rsidRPr="001975D5">
        <w:rPr>
          <w:rFonts w:ascii="Calibri" w:hAnsi="Calibri" w:cs="Calibri"/>
          <w:noProof/>
          <w:color w:val="auto"/>
          <w:lang w:val="sr-Latn-RS"/>
        </w:rPr>
        <w:t>Izmjene MSFI 2 “Plaćanja zasnovana na akcijama” (na snazi za godišnje periode koji počinju na dan ili nakon 1. januara 2018. godine);</w:t>
      </w:r>
    </w:p>
    <w:p w:rsidR="00321C8E" w:rsidRPr="001975D5" w:rsidRDefault="00321C8E" w:rsidP="00321C8E">
      <w:pPr>
        <w:pStyle w:val="BodySingle"/>
        <w:numPr>
          <w:ilvl w:val="0"/>
          <w:numId w:val="43"/>
        </w:numPr>
        <w:tabs>
          <w:tab w:val="clear" w:pos="927"/>
        </w:tabs>
        <w:ind w:left="426" w:hanging="426"/>
        <w:jc w:val="both"/>
        <w:rPr>
          <w:rFonts w:ascii="Calibri" w:hAnsi="Calibri" w:cs="Calibri"/>
          <w:noProof/>
          <w:color w:val="auto"/>
          <w:lang w:val="sr-Latn-RS"/>
        </w:rPr>
      </w:pPr>
      <w:r w:rsidRPr="001975D5">
        <w:rPr>
          <w:rFonts w:ascii="Calibri" w:hAnsi="Calibri" w:cs="Calibri"/>
          <w:noProof/>
          <w:color w:val="auto"/>
          <w:lang w:val="sr-Latn-RS"/>
        </w:rPr>
        <w:t>MSFI 9 “Finansijski instrumenti” (na snazi za godišnje periode koji počinju na dan ili nakon 1. januara 2018. godine);</w:t>
      </w:r>
    </w:p>
    <w:p w:rsidR="00321C8E" w:rsidRPr="001975D5" w:rsidRDefault="00321C8E" w:rsidP="00321C8E">
      <w:pPr>
        <w:pStyle w:val="BodySingle"/>
        <w:numPr>
          <w:ilvl w:val="0"/>
          <w:numId w:val="43"/>
        </w:numPr>
        <w:tabs>
          <w:tab w:val="clear" w:pos="927"/>
        </w:tabs>
        <w:ind w:left="426" w:hanging="426"/>
        <w:jc w:val="both"/>
        <w:rPr>
          <w:rFonts w:ascii="Calibri" w:hAnsi="Calibri" w:cs="Calibri"/>
          <w:noProof/>
          <w:color w:val="auto"/>
          <w:lang w:val="sr-Latn-RS"/>
        </w:rPr>
      </w:pPr>
      <w:r w:rsidRPr="001975D5">
        <w:rPr>
          <w:rFonts w:ascii="Calibri" w:hAnsi="Calibri" w:cs="Calibri"/>
          <w:noProof/>
          <w:color w:val="auto"/>
          <w:lang w:val="sr-Latn-RS"/>
        </w:rPr>
        <w:lastRenderedPageBreak/>
        <w:t>Izmjene MSFI 9, “Finansijski instrumenti”, u vezi opšteg računovodstva hedžinga (na snazi za godišnje periode koji počinju na dan ili nakon 1. januara 2018. godine);</w:t>
      </w:r>
    </w:p>
    <w:p w:rsidR="00321C8E" w:rsidRPr="001975D5" w:rsidRDefault="00321C8E" w:rsidP="00321C8E">
      <w:pPr>
        <w:pStyle w:val="BodySingle"/>
        <w:numPr>
          <w:ilvl w:val="0"/>
          <w:numId w:val="43"/>
        </w:numPr>
        <w:tabs>
          <w:tab w:val="clear" w:pos="927"/>
        </w:tabs>
        <w:ind w:left="426" w:hanging="426"/>
        <w:jc w:val="both"/>
        <w:rPr>
          <w:rFonts w:ascii="Calibri" w:hAnsi="Calibri" w:cs="Calibri"/>
          <w:noProof/>
          <w:color w:val="auto"/>
          <w:lang w:val="sr-Latn-RS"/>
        </w:rPr>
      </w:pPr>
      <w:r w:rsidRPr="001975D5">
        <w:rPr>
          <w:rFonts w:ascii="Calibri" w:hAnsi="Calibri" w:cs="Calibri"/>
          <w:noProof/>
          <w:color w:val="auto"/>
          <w:lang w:val="sr-Latn-RS"/>
        </w:rPr>
        <w:t>MSFI 15 “Prihodi iz ugovora sa klijentima” (na snazi za godišnje periode koji počinju na dan ili nakon 1. januara 2018. godine);</w:t>
      </w:r>
    </w:p>
    <w:p w:rsidR="00321C8E" w:rsidRPr="001975D5" w:rsidRDefault="00321C8E" w:rsidP="00321C8E">
      <w:pPr>
        <w:pStyle w:val="BodySingle"/>
        <w:numPr>
          <w:ilvl w:val="0"/>
          <w:numId w:val="43"/>
        </w:numPr>
        <w:tabs>
          <w:tab w:val="clear" w:pos="927"/>
        </w:tabs>
        <w:ind w:left="426" w:hanging="426"/>
        <w:jc w:val="both"/>
        <w:rPr>
          <w:rFonts w:ascii="Calibri" w:hAnsi="Calibri" w:cs="Calibri"/>
          <w:noProof/>
          <w:color w:val="auto"/>
          <w:lang w:val="sr-Latn-RS"/>
        </w:rPr>
      </w:pPr>
      <w:r w:rsidRPr="001975D5">
        <w:rPr>
          <w:rFonts w:ascii="Calibri" w:hAnsi="Calibri" w:cs="Calibri"/>
          <w:noProof/>
          <w:color w:val="auto"/>
          <w:lang w:val="sr-Latn-RS"/>
        </w:rPr>
        <w:t>Izmjene MSFI 15 “Prihodi iz ugovora sa klijentima” (na snazi za godišnje periode koji počinju na dan ili nakon 1. januara 2018. godine)</w:t>
      </w:r>
    </w:p>
    <w:p w:rsidR="00321C8E" w:rsidRPr="001975D5" w:rsidRDefault="00321C8E" w:rsidP="00321C8E">
      <w:pPr>
        <w:pStyle w:val="BodySingle"/>
        <w:numPr>
          <w:ilvl w:val="0"/>
          <w:numId w:val="43"/>
        </w:numPr>
        <w:tabs>
          <w:tab w:val="clear" w:pos="927"/>
        </w:tabs>
        <w:ind w:left="426" w:hanging="426"/>
        <w:jc w:val="both"/>
        <w:rPr>
          <w:rFonts w:ascii="Calibri" w:hAnsi="Calibri" w:cs="Calibri"/>
          <w:noProof/>
          <w:color w:val="auto"/>
          <w:lang w:val="sr-Latn-RS"/>
        </w:rPr>
      </w:pPr>
      <w:r w:rsidRPr="001975D5">
        <w:rPr>
          <w:rFonts w:ascii="Calibri" w:hAnsi="Calibri" w:cs="Calibri"/>
          <w:noProof/>
          <w:color w:val="auto"/>
          <w:lang w:val="sr-Latn-RS"/>
        </w:rPr>
        <w:t>Izmjene MSFI 4 “Ugovori o osiguranju” u vezi primjene MSFI 15 “Prihodi iz ugovora sa klijentima” (na snazi za godišnje periode koji počinju na dan ili nakon 1. januara 2018. godine);</w:t>
      </w:r>
    </w:p>
    <w:p w:rsidR="00321C8E" w:rsidRPr="001975D5" w:rsidRDefault="00321C8E" w:rsidP="00321C8E">
      <w:pPr>
        <w:pStyle w:val="BodySingle"/>
        <w:numPr>
          <w:ilvl w:val="0"/>
          <w:numId w:val="43"/>
        </w:numPr>
        <w:tabs>
          <w:tab w:val="clear" w:pos="927"/>
        </w:tabs>
        <w:ind w:left="426" w:hanging="426"/>
        <w:jc w:val="both"/>
        <w:rPr>
          <w:rFonts w:ascii="Calibri" w:hAnsi="Calibri" w:cs="Calibri"/>
          <w:noProof/>
          <w:color w:val="auto"/>
          <w:lang w:val="sr-Latn-RS"/>
        </w:rPr>
      </w:pPr>
      <w:r w:rsidRPr="001975D5">
        <w:rPr>
          <w:rFonts w:ascii="Calibri" w:hAnsi="Calibri" w:cs="Calibri"/>
          <w:noProof/>
          <w:color w:val="auto"/>
          <w:lang w:val="sr-Latn-RS"/>
        </w:rPr>
        <w:t>IFRIC 22 “Transakcije u stranoj valuti I razmatranje avansa” (na snazi za godišnje periode koji počinju na dan ili nakon 1. januara 2018. godine) i</w:t>
      </w:r>
    </w:p>
    <w:p w:rsidR="00321C8E" w:rsidRPr="001975D5" w:rsidRDefault="00321C8E" w:rsidP="00321C8E">
      <w:pPr>
        <w:pStyle w:val="BodySingle"/>
        <w:numPr>
          <w:ilvl w:val="0"/>
          <w:numId w:val="43"/>
        </w:numPr>
        <w:tabs>
          <w:tab w:val="clear" w:pos="927"/>
        </w:tabs>
        <w:ind w:left="426" w:hanging="426"/>
        <w:jc w:val="both"/>
        <w:rPr>
          <w:rFonts w:ascii="Calibri" w:hAnsi="Calibri" w:cs="Calibri"/>
          <w:noProof/>
          <w:color w:val="auto"/>
          <w:lang w:val="sr-Latn-RS"/>
        </w:rPr>
      </w:pPr>
      <w:r w:rsidRPr="001975D5">
        <w:rPr>
          <w:rFonts w:ascii="Calibri" w:hAnsi="Calibri" w:cs="Calibri"/>
          <w:noProof/>
          <w:color w:val="auto"/>
          <w:lang w:val="sr-Latn-RS"/>
        </w:rPr>
        <w:t>Izmjene različitih standarda (MSFI 1 i MRS 28) nastalih kao rezultat godišnjeg projekta unapređenja standarda “Ciklus 2014 – 2016”, izdatim od strane IASB-a u decembru 2016. godine (na snazi za godišnje periode koji počinju na dan ili nakon 1. januara 2018. godine).</w:t>
      </w:r>
    </w:p>
    <w:p w:rsidR="00321C8E" w:rsidRPr="001975D5" w:rsidRDefault="00321C8E" w:rsidP="00321C8E">
      <w:pPr>
        <w:pStyle w:val="BodySingle"/>
        <w:jc w:val="both"/>
        <w:rPr>
          <w:rFonts w:ascii="Calibri" w:hAnsi="Calibri" w:cs="Calibri"/>
          <w:noProof/>
          <w:color w:val="auto"/>
          <w:lang w:val="sr-Latn-RS"/>
        </w:rPr>
      </w:pPr>
    </w:p>
    <w:p w:rsidR="00321C8E" w:rsidRPr="001975D5" w:rsidRDefault="00321C8E" w:rsidP="00321C8E">
      <w:pPr>
        <w:pStyle w:val="ListParagraph"/>
        <w:ind w:left="0"/>
        <w:rPr>
          <w:rFonts w:ascii="Calibri" w:hAnsi="Calibri" w:cs="Calibri"/>
          <w:b/>
          <w:noProof/>
          <w:szCs w:val="24"/>
          <w:lang w:val="sr-Latn-RS"/>
        </w:rPr>
      </w:pPr>
    </w:p>
    <w:p w:rsidR="00321C8E" w:rsidRPr="001975D5" w:rsidRDefault="00321C8E" w:rsidP="00321C8E">
      <w:pPr>
        <w:spacing w:after="120"/>
        <w:rPr>
          <w:rFonts w:ascii="Calibri" w:hAnsi="Calibri" w:cs="Calibri"/>
          <w:b/>
          <w:i/>
          <w:noProof/>
          <w:lang w:val="sr-Latn-RS"/>
        </w:rPr>
      </w:pPr>
      <w:r w:rsidRPr="001975D5">
        <w:rPr>
          <w:rFonts w:ascii="Calibri" w:hAnsi="Calibri" w:cs="Calibri"/>
          <w:b/>
          <w:noProof/>
          <w:lang w:val="sr-Latn-RS"/>
        </w:rPr>
        <w:t>2.3.</w:t>
      </w:r>
      <w:r w:rsidRPr="001975D5">
        <w:rPr>
          <w:rFonts w:ascii="Calibri" w:hAnsi="Calibri" w:cs="Calibri"/>
          <w:b/>
          <w:noProof/>
          <w:lang w:val="sr-Latn-RS"/>
        </w:rPr>
        <w:tab/>
        <w:t>Uticaj i primjena novih revidiranih MRS/MSFI (Nastavak)</w:t>
      </w:r>
    </w:p>
    <w:p w:rsidR="00321C8E" w:rsidRPr="001975D5" w:rsidRDefault="00321C8E" w:rsidP="00321C8E">
      <w:pPr>
        <w:outlineLvl w:val="0"/>
        <w:rPr>
          <w:rFonts w:ascii="Calibri" w:hAnsi="Calibri" w:cs="Calibri"/>
          <w:b/>
          <w:bCs/>
          <w:i/>
          <w:iCs/>
          <w:noProof/>
          <w:lang w:val="sr-Latn-RS"/>
        </w:rPr>
      </w:pPr>
      <w:bookmarkStart w:id="5" w:name="_Toc64534431"/>
      <w:r w:rsidRPr="001975D5">
        <w:rPr>
          <w:rFonts w:ascii="Calibri" w:hAnsi="Calibri" w:cs="Calibri"/>
          <w:b/>
          <w:bCs/>
          <w:i/>
          <w:iCs/>
          <w:noProof/>
          <w:lang w:val="sr-Latn-RS"/>
        </w:rPr>
        <w:t>(b)</w:t>
      </w:r>
      <w:r w:rsidRPr="001975D5">
        <w:rPr>
          <w:rFonts w:ascii="Calibri" w:hAnsi="Calibri" w:cs="Calibri"/>
          <w:b/>
          <w:bCs/>
          <w:i/>
          <w:iCs/>
          <w:noProof/>
          <w:lang w:val="sr-Latn-RS"/>
        </w:rPr>
        <w:tab/>
      </w:r>
      <w:r w:rsidRPr="001975D5">
        <w:rPr>
          <w:rFonts w:ascii="Calibri" w:hAnsi="Calibri" w:cs="Calibri"/>
          <w:b/>
          <w:i/>
          <w:iCs/>
          <w:noProof/>
          <w:lang w:val="sr-Latn-RS"/>
        </w:rPr>
        <w:t xml:space="preserve">Novi standardi, </w:t>
      </w:r>
      <w:r w:rsidRPr="001975D5">
        <w:rPr>
          <w:rFonts w:ascii="Calibri" w:hAnsi="Calibri" w:cs="Calibri"/>
          <w:b/>
          <w:i/>
          <w:noProof/>
          <w:lang w:val="sr-Latn-RS"/>
        </w:rPr>
        <w:t>tumačenja</w:t>
      </w:r>
      <w:r w:rsidRPr="001975D5">
        <w:rPr>
          <w:rFonts w:ascii="Calibri" w:hAnsi="Calibri" w:cs="Calibri"/>
          <w:b/>
          <w:i/>
          <w:iCs/>
          <w:noProof/>
          <w:lang w:val="sr-Latn-RS"/>
        </w:rPr>
        <w:t xml:space="preserve"> i izmjene postojećih standarda </w:t>
      </w:r>
      <w:r w:rsidRPr="001975D5">
        <w:rPr>
          <w:rFonts w:ascii="Calibri" w:hAnsi="Calibri" w:cs="Calibri"/>
          <w:b/>
          <w:bCs/>
          <w:i/>
          <w:iCs/>
          <w:noProof/>
          <w:lang w:val="sr-Latn-RS"/>
        </w:rPr>
        <w:t>na snazi u tekućem periodu      koji još uvijek nisu zvanično prevedeni i usvojeni u Republici Srpskoj (Nastavak)</w:t>
      </w:r>
      <w:bookmarkEnd w:id="5"/>
    </w:p>
    <w:p w:rsidR="00321C8E" w:rsidRPr="001975D5" w:rsidRDefault="00321C8E" w:rsidP="00321C8E">
      <w:pPr>
        <w:pStyle w:val="BodySingle"/>
        <w:jc w:val="both"/>
        <w:rPr>
          <w:rFonts w:ascii="Calibri" w:hAnsi="Calibri" w:cs="Calibri"/>
          <w:noProof/>
          <w:color w:val="auto"/>
          <w:lang w:val="sr-Latn-RS"/>
        </w:rPr>
      </w:pPr>
    </w:p>
    <w:p w:rsidR="00321C8E" w:rsidRPr="001975D5" w:rsidRDefault="00321C8E" w:rsidP="00321C8E">
      <w:pPr>
        <w:rPr>
          <w:rFonts w:ascii="Calibri" w:hAnsi="Calibri" w:cs="Calibri"/>
          <w:noProof/>
          <w:lang w:val="sr-Latn-RS"/>
        </w:rPr>
      </w:pPr>
      <w:r w:rsidRPr="001975D5">
        <w:rPr>
          <w:rFonts w:ascii="Calibri" w:hAnsi="Calibri" w:cs="Calibri"/>
          <w:noProof/>
          <w:lang w:val="sr-Latn-RS"/>
        </w:rPr>
        <w:t>Do datuma usvajanja priloženih finansijskih izvještaja, sljedeći MRS, MSFI i tumačenja koja su sastavni dio standarda, kao i njihove izmjene, izdati od strane Odbora za međunarodne računovodstvene standarde (IASB), odnosno Komiteta za tumačenje međunarodnog finansijskog izvještavanja (IFRIC), stupili su na snagu 1. januara 2020. godine i ranije i kao takvi bi trebalo da budu primjenljivi na finansijske izvještaje za 2020. godinu, ali pošto još uvijek nisu zvanično prevedeni i objavljeni od strane Ministarstva, nisu ni primjenjeni od strane Fonda:</w:t>
      </w:r>
    </w:p>
    <w:p w:rsidR="00321C8E" w:rsidRPr="001975D5" w:rsidRDefault="00321C8E" w:rsidP="00321C8E">
      <w:pPr>
        <w:pStyle w:val="BodySingle"/>
        <w:jc w:val="both"/>
        <w:rPr>
          <w:rFonts w:ascii="Calibri" w:hAnsi="Calibri" w:cs="Calibri"/>
          <w:noProof/>
          <w:color w:val="auto"/>
          <w:lang w:val="sr-Latn-RS"/>
        </w:rPr>
      </w:pPr>
    </w:p>
    <w:p w:rsidR="00321C8E" w:rsidRPr="001975D5" w:rsidRDefault="00321C8E" w:rsidP="00321C8E">
      <w:pPr>
        <w:pStyle w:val="BodySingle"/>
        <w:numPr>
          <w:ilvl w:val="0"/>
          <w:numId w:val="44"/>
        </w:numPr>
        <w:ind w:left="426" w:hanging="426"/>
        <w:jc w:val="both"/>
        <w:rPr>
          <w:rFonts w:ascii="Calibri" w:hAnsi="Calibri" w:cs="Calibri"/>
          <w:noProof/>
          <w:color w:val="auto"/>
          <w:lang w:val="sr-Latn-RS"/>
        </w:rPr>
      </w:pPr>
      <w:r w:rsidRPr="001975D5">
        <w:rPr>
          <w:rFonts w:ascii="Calibri" w:hAnsi="Calibri" w:cs="Calibri"/>
          <w:noProof/>
          <w:color w:val="auto"/>
          <w:lang w:val="sr-Latn-RS"/>
        </w:rPr>
        <w:t>MSFI 16 „Lizing“ (na snazi za godišnje periode koji počinju na dan ili nakon 01. januara 2019. godine);</w:t>
      </w:r>
    </w:p>
    <w:p w:rsidR="00321C8E" w:rsidRPr="001975D5" w:rsidRDefault="00321C8E" w:rsidP="00321C8E">
      <w:pPr>
        <w:pStyle w:val="BodySingle"/>
        <w:numPr>
          <w:ilvl w:val="0"/>
          <w:numId w:val="44"/>
        </w:numPr>
        <w:ind w:left="426" w:hanging="426"/>
        <w:jc w:val="both"/>
        <w:rPr>
          <w:rFonts w:ascii="Calibri" w:hAnsi="Calibri" w:cs="Calibri"/>
          <w:noProof/>
          <w:color w:val="auto"/>
          <w:lang w:val="sr-Latn-RS"/>
        </w:rPr>
      </w:pPr>
      <w:r w:rsidRPr="001975D5">
        <w:rPr>
          <w:rFonts w:ascii="Calibri" w:hAnsi="Calibri" w:cs="Calibri"/>
          <w:noProof/>
          <w:color w:val="auto"/>
          <w:lang w:val="sr-Latn-RS"/>
        </w:rPr>
        <w:t>IFRIC 23 „Neizvjesnosti u vezi tretmana poreza na dobitak“ (na snazi za godišnje periode koji počinju na dan ili nakon 01. januara 2019. godine);</w:t>
      </w:r>
    </w:p>
    <w:p w:rsidR="00321C8E" w:rsidRPr="001975D5" w:rsidRDefault="00321C8E" w:rsidP="00321C8E">
      <w:pPr>
        <w:pStyle w:val="BodySingle"/>
        <w:numPr>
          <w:ilvl w:val="0"/>
          <w:numId w:val="44"/>
        </w:numPr>
        <w:ind w:left="426" w:hanging="426"/>
        <w:jc w:val="both"/>
        <w:rPr>
          <w:rFonts w:ascii="Calibri" w:hAnsi="Calibri" w:cs="Calibri"/>
          <w:noProof/>
          <w:color w:val="auto"/>
          <w:lang w:val="sr-Latn-RS"/>
        </w:rPr>
      </w:pPr>
      <w:r w:rsidRPr="001975D5">
        <w:rPr>
          <w:rFonts w:ascii="Calibri" w:hAnsi="Calibri" w:cs="Calibri"/>
          <w:noProof/>
          <w:color w:val="auto"/>
          <w:lang w:val="sr-Latn-RS"/>
        </w:rPr>
        <w:t>Godišnja unapređenja MSFI „Ciklus 2015-2017“ – MSFI 3, MSFI 11, MRS 12 i MRS 23, objavljenog od strane IASB-a u decembru 2017. godine (na snazi za godišnje periode koji počinju na dan ili nakon 01. januara 2019. godine);</w:t>
      </w:r>
    </w:p>
    <w:p w:rsidR="00321C8E" w:rsidRPr="001975D5" w:rsidRDefault="00321C8E" w:rsidP="00321C8E">
      <w:pPr>
        <w:pStyle w:val="BodySingle"/>
        <w:numPr>
          <w:ilvl w:val="0"/>
          <w:numId w:val="44"/>
        </w:numPr>
        <w:ind w:left="426" w:hanging="426"/>
        <w:jc w:val="both"/>
        <w:rPr>
          <w:rFonts w:ascii="Calibri" w:hAnsi="Calibri" w:cs="Calibri"/>
          <w:noProof/>
          <w:color w:val="auto"/>
          <w:lang w:val="sr-Latn-RS"/>
        </w:rPr>
      </w:pPr>
      <w:r w:rsidRPr="001975D5">
        <w:rPr>
          <w:rFonts w:ascii="Calibri" w:hAnsi="Calibri" w:cs="Calibri"/>
          <w:noProof/>
          <w:color w:val="auto"/>
          <w:lang w:val="sr-Latn-RS"/>
        </w:rPr>
        <w:t>Izmjene MSFI 9 „Finansijski instrumenti“ u vezi privremenih otplata sa negativnim kompenzacijama (na snazi za godišnje periode koji počinju na dan ili nakon 01. januara 2019. godine);</w:t>
      </w:r>
    </w:p>
    <w:p w:rsidR="00321C8E" w:rsidRPr="001975D5" w:rsidRDefault="00321C8E" w:rsidP="00321C8E">
      <w:pPr>
        <w:pStyle w:val="BodySingle"/>
        <w:numPr>
          <w:ilvl w:val="0"/>
          <w:numId w:val="44"/>
        </w:numPr>
        <w:ind w:left="426" w:hanging="426"/>
        <w:jc w:val="both"/>
        <w:rPr>
          <w:rFonts w:ascii="Calibri" w:hAnsi="Calibri" w:cs="Calibri"/>
          <w:noProof/>
          <w:color w:val="auto"/>
          <w:lang w:val="sr-Latn-RS"/>
        </w:rPr>
      </w:pPr>
      <w:r w:rsidRPr="001975D5">
        <w:rPr>
          <w:rFonts w:ascii="Calibri" w:hAnsi="Calibri" w:cs="Calibri"/>
          <w:noProof/>
          <w:color w:val="auto"/>
          <w:lang w:val="sr-Latn-RS"/>
        </w:rPr>
        <w:t>Izmjene MRS 28 „Ulaganja u pridružene entitete i zajedničke poduhvate“ u vezi dugoročnih ulaganja u pridružene entitete i zajedničke poduhvate (na snazi za godišnje periode koji počinju na dan ili nakon 01. januara 2019. godine);</w:t>
      </w:r>
    </w:p>
    <w:p w:rsidR="00321C8E" w:rsidRPr="001975D5" w:rsidRDefault="00321C8E" w:rsidP="00321C8E">
      <w:pPr>
        <w:pStyle w:val="BodySingle"/>
        <w:numPr>
          <w:ilvl w:val="0"/>
          <w:numId w:val="44"/>
        </w:numPr>
        <w:ind w:left="426" w:hanging="426"/>
        <w:jc w:val="both"/>
        <w:rPr>
          <w:rFonts w:ascii="Calibri" w:hAnsi="Calibri" w:cs="Calibri"/>
          <w:noProof/>
          <w:color w:val="auto"/>
          <w:lang w:val="sr-Latn-RS"/>
        </w:rPr>
      </w:pPr>
      <w:r w:rsidRPr="001975D5">
        <w:rPr>
          <w:rFonts w:ascii="Calibri" w:hAnsi="Calibri" w:cs="Calibri"/>
          <w:noProof/>
          <w:color w:val="auto"/>
          <w:lang w:val="sr-Latn-RS"/>
        </w:rPr>
        <w:lastRenderedPageBreak/>
        <w:t>Izmjene MRS 19 „Primanja zaposlenih“ u vezi izmjena, smanjenja ili izmirenja plana (na snazi za godišnje periode koji počinju na dan ili nakon 01. januara 2019. godine).</w:t>
      </w:r>
    </w:p>
    <w:p w:rsidR="00321C8E" w:rsidRPr="001975D5" w:rsidRDefault="00321C8E" w:rsidP="00321C8E">
      <w:pPr>
        <w:pStyle w:val="BodySingle"/>
        <w:numPr>
          <w:ilvl w:val="0"/>
          <w:numId w:val="44"/>
        </w:numPr>
        <w:ind w:left="426" w:hanging="426"/>
        <w:jc w:val="both"/>
        <w:rPr>
          <w:rFonts w:ascii="Calibri" w:hAnsi="Calibri" w:cs="Calibri"/>
          <w:noProof/>
          <w:color w:val="auto"/>
          <w:lang w:val="sr-Latn-RS"/>
        </w:rPr>
      </w:pPr>
      <w:r w:rsidRPr="001975D5">
        <w:rPr>
          <w:rFonts w:ascii="Calibri" w:hAnsi="Calibri" w:cs="Calibri"/>
          <w:noProof/>
          <w:color w:val="auto"/>
          <w:lang w:val="sr-Latn-RS"/>
        </w:rPr>
        <w:t>Izmjene MSFI 3 “Poslovne kombinacije“ u vezi definicije posla (na snazi za godišnje periode koji počinju na dan ili nakon 1. januara 2020. godine);</w:t>
      </w:r>
    </w:p>
    <w:p w:rsidR="00321C8E" w:rsidRPr="001975D5" w:rsidRDefault="00321C8E" w:rsidP="00321C8E">
      <w:pPr>
        <w:pStyle w:val="BodySingle"/>
        <w:numPr>
          <w:ilvl w:val="0"/>
          <w:numId w:val="44"/>
        </w:numPr>
        <w:ind w:left="426" w:hanging="426"/>
        <w:jc w:val="both"/>
        <w:rPr>
          <w:rFonts w:ascii="Calibri" w:hAnsi="Calibri" w:cs="Calibri"/>
          <w:noProof/>
          <w:color w:val="auto"/>
          <w:lang w:val="sr-Latn-RS"/>
        </w:rPr>
      </w:pPr>
      <w:r w:rsidRPr="001975D5">
        <w:rPr>
          <w:rFonts w:ascii="Calibri" w:hAnsi="Calibri" w:cs="Calibri"/>
          <w:noProof/>
          <w:color w:val="auto"/>
          <w:lang w:val="sr-Latn-RS"/>
        </w:rPr>
        <w:t>Izmjene MRS 1 i MRS 8 u vezi definicije materijalnosti (na snazi za godišnje periode koji počinju na dan ili nakon 1. januara 2020. godine);</w:t>
      </w:r>
    </w:p>
    <w:p w:rsidR="00321C8E" w:rsidRPr="001975D5" w:rsidRDefault="00321C8E" w:rsidP="00321C8E">
      <w:pPr>
        <w:pStyle w:val="BodySingle"/>
        <w:numPr>
          <w:ilvl w:val="0"/>
          <w:numId w:val="44"/>
        </w:numPr>
        <w:ind w:left="426" w:hanging="426"/>
        <w:jc w:val="both"/>
        <w:rPr>
          <w:rFonts w:ascii="Calibri" w:hAnsi="Calibri" w:cs="Calibri"/>
          <w:noProof/>
          <w:color w:val="auto"/>
          <w:lang w:val="sr-Latn-RS"/>
        </w:rPr>
      </w:pPr>
      <w:r w:rsidRPr="001975D5">
        <w:rPr>
          <w:rFonts w:ascii="Calibri" w:hAnsi="Calibri" w:cs="Calibri"/>
          <w:noProof/>
          <w:color w:val="auto"/>
          <w:lang w:val="sr-Latn-RS"/>
        </w:rPr>
        <w:t>Izmjene MSFI 2, MSFI 3, MSFI 6, MSFI 14, MRS 1, MRS 8, MRS 34, MRS 37, MRS 38, IFRIC 12, IFRIC 19, IFRIC 20, IFRIC 22, i SIC-32 zbog usaglašavanja sa novim Okvirom za finansijsko izveštavanje (na snazi za godišnje periode koji počinju na dan ili nakon 1. januara 2020. godine);</w:t>
      </w:r>
    </w:p>
    <w:p w:rsidR="00321C8E" w:rsidRPr="001975D5" w:rsidRDefault="00321C8E" w:rsidP="00321C8E">
      <w:pPr>
        <w:pStyle w:val="BodySingle"/>
        <w:numPr>
          <w:ilvl w:val="0"/>
          <w:numId w:val="44"/>
        </w:numPr>
        <w:ind w:left="426" w:hanging="426"/>
        <w:jc w:val="both"/>
        <w:rPr>
          <w:rFonts w:ascii="Calibri" w:hAnsi="Calibri" w:cs="Calibri"/>
          <w:noProof/>
          <w:color w:val="auto"/>
          <w:lang w:val="sr-Latn-RS"/>
        </w:rPr>
      </w:pPr>
      <w:r w:rsidRPr="001975D5">
        <w:rPr>
          <w:rFonts w:ascii="Calibri" w:hAnsi="Calibri" w:cs="Calibri"/>
          <w:noProof/>
          <w:color w:val="auto"/>
          <w:lang w:val="sr-Latn-RS"/>
        </w:rPr>
        <w:t>Izmjene MSFI 9, MRS 39 i MSFI 7 – „Reforma referentnih kamatnih stopa“ (na snazi za godišnje periode koji počinju na dan ili nakon 01. januara 2020. godine)</w:t>
      </w:r>
    </w:p>
    <w:p w:rsidR="00321C8E" w:rsidRPr="001975D5" w:rsidRDefault="00321C8E" w:rsidP="00321C8E">
      <w:pPr>
        <w:pStyle w:val="BodySingle"/>
        <w:numPr>
          <w:ilvl w:val="0"/>
          <w:numId w:val="44"/>
        </w:numPr>
        <w:ind w:left="426" w:hanging="426"/>
        <w:jc w:val="both"/>
        <w:rPr>
          <w:rFonts w:ascii="Calibri" w:hAnsi="Calibri" w:cs="Calibri"/>
          <w:noProof/>
          <w:color w:val="auto"/>
          <w:lang w:val="sr-Latn-RS"/>
        </w:rPr>
      </w:pPr>
      <w:r w:rsidRPr="001975D5">
        <w:rPr>
          <w:rFonts w:ascii="Calibri" w:hAnsi="Calibri" w:cs="Calibri"/>
          <w:noProof/>
          <w:color w:val="auto"/>
          <w:lang w:val="sr-Latn-RS"/>
        </w:rPr>
        <w:t>Izmjene MSFI 16 „Lizing“ vezano za COVID-19 – naknade zakupa (na snazi za godišnje periode koju počinju na dan ili nakon 01. januara 2020. godine).</w:t>
      </w:r>
    </w:p>
    <w:p w:rsidR="00321C8E" w:rsidRPr="001975D5" w:rsidRDefault="00321C8E" w:rsidP="00321C8E">
      <w:pPr>
        <w:pStyle w:val="BodySingle"/>
        <w:jc w:val="both"/>
        <w:rPr>
          <w:rFonts w:ascii="Calibri" w:hAnsi="Calibri" w:cs="Calibri"/>
          <w:noProof/>
          <w:color w:val="auto"/>
          <w:lang w:val="sr-Latn-RS"/>
        </w:rPr>
      </w:pPr>
    </w:p>
    <w:p w:rsidR="00321C8E" w:rsidRPr="001975D5" w:rsidRDefault="00321C8E" w:rsidP="00321C8E">
      <w:pPr>
        <w:rPr>
          <w:rFonts w:ascii="Calibri" w:hAnsi="Calibri" w:cs="Calibri"/>
          <w:b/>
          <w:noProof/>
        </w:rPr>
      </w:pPr>
      <w:r w:rsidRPr="001975D5">
        <w:rPr>
          <w:rFonts w:ascii="Calibri" w:hAnsi="Calibri" w:cs="Calibri"/>
          <w:b/>
          <w:noProof/>
        </w:rPr>
        <w:t>2.4.</w:t>
      </w:r>
      <w:r w:rsidRPr="001975D5">
        <w:rPr>
          <w:rFonts w:ascii="Calibri" w:hAnsi="Calibri" w:cs="Calibri"/>
          <w:b/>
          <w:noProof/>
        </w:rPr>
        <w:tab/>
        <w:t>Uporedni podaci</w:t>
      </w:r>
    </w:p>
    <w:p w:rsidR="00321C8E" w:rsidRPr="001975D5" w:rsidRDefault="00321C8E" w:rsidP="00321C8E">
      <w:pPr>
        <w:rPr>
          <w:rFonts w:ascii="Calibri" w:hAnsi="Calibri" w:cs="Calibri"/>
          <w:noProof/>
        </w:rPr>
      </w:pPr>
    </w:p>
    <w:p w:rsidR="00321C8E" w:rsidRPr="001975D5" w:rsidRDefault="00321C8E" w:rsidP="00321C8E">
      <w:pPr>
        <w:rPr>
          <w:rFonts w:ascii="Calibri" w:hAnsi="Calibri" w:cs="Calibri"/>
          <w:noProof/>
        </w:rPr>
      </w:pPr>
      <w:r w:rsidRPr="001975D5">
        <w:rPr>
          <w:rFonts w:ascii="Calibri" w:hAnsi="Calibri" w:cs="Calibri"/>
          <w:noProof/>
        </w:rPr>
        <w:t xml:space="preserve">Uporedne podatke čine podaci sadržani u finansijskim izvještajima za 2018. godinu, </w:t>
      </w:r>
      <w:proofErr w:type="spellStart"/>
      <w:r w:rsidRPr="001975D5">
        <w:rPr>
          <w:rFonts w:ascii="Calibri" w:hAnsi="Calibri" w:cs="Calibri"/>
        </w:rPr>
        <w:t>sastavljeni</w:t>
      </w:r>
      <w:proofErr w:type="spellEnd"/>
      <w:r w:rsidRPr="001975D5">
        <w:rPr>
          <w:rFonts w:ascii="Calibri" w:hAnsi="Calibri" w:cs="Calibri"/>
        </w:rPr>
        <w:t xml:space="preserve"> u </w:t>
      </w:r>
      <w:proofErr w:type="spellStart"/>
      <w:r w:rsidRPr="001975D5">
        <w:rPr>
          <w:rFonts w:ascii="Calibri" w:hAnsi="Calibri" w:cs="Calibri"/>
        </w:rPr>
        <w:t>skladu</w:t>
      </w:r>
      <w:proofErr w:type="spellEnd"/>
      <w:r w:rsidRPr="001975D5">
        <w:rPr>
          <w:rFonts w:ascii="Calibri" w:hAnsi="Calibri" w:cs="Calibri"/>
        </w:rPr>
        <w:t xml:space="preserve"> </w:t>
      </w:r>
      <w:proofErr w:type="spellStart"/>
      <w:proofErr w:type="gramStart"/>
      <w:r w:rsidRPr="001975D5">
        <w:rPr>
          <w:rFonts w:ascii="Calibri" w:hAnsi="Calibri" w:cs="Calibri"/>
        </w:rPr>
        <w:t>sa</w:t>
      </w:r>
      <w:proofErr w:type="spellEnd"/>
      <w:proofErr w:type="gramEnd"/>
      <w:r w:rsidRPr="001975D5">
        <w:rPr>
          <w:rFonts w:ascii="Calibri" w:hAnsi="Calibri" w:cs="Calibri"/>
        </w:rPr>
        <w:t xml:space="preserve"> </w:t>
      </w:r>
      <w:proofErr w:type="spellStart"/>
      <w:r w:rsidRPr="001975D5">
        <w:rPr>
          <w:rFonts w:ascii="Calibri" w:hAnsi="Calibri" w:cs="Calibri"/>
        </w:rPr>
        <w:t>računovodstvenim</w:t>
      </w:r>
      <w:proofErr w:type="spellEnd"/>
      <w:r w:rsidRPr="001975D5">
        <w:rPr>
          <w:rFonts w:ascii="Calibri" w:hAnsi="Calibri" w:cs="Calibri"/>
        </w:rPr>
        <w:t xml:space="preserve"> </w:t>
      </w:r>
      <w:proofErr w:type="spellStart"/>
      <w:r w:rsidRPr="001975D5">
        <w:rPr>
          <w:rFonts w:ascii="Calibri" w:hAnsi="Calibri" w:cs="Calibri"/>
        </w:rPr>
        <w:t>propisima</w:t>
      </w:r>
      <w:proofErr w:type="spellEnd"/>
      <w:r w:rsidRPr="001975D5">
        <w:rPr>
          <w:rFonts w:ascii="Calibri" w:hAnsi="Calibri" w:cs="Calibri"/>
        </w:rPr>
        <w:t xml:space="preserve"> </w:t>
      </w:r>
      <w:proofErr w:type="spellStart"/>
      <w:r w:rsidRPr="001975D5">
        <w:rPr>
          <w:rFonts w:ascii="Calibri" w:hAnsi="Calibri" w:cs="Calibri"/>
        </w:rPr>
        <w:t>važećim</w:t>
      </w:r>
      <w:proofErr w:type="spellEnd"/>
      <w:r w:rsidRPr="001975D5">
        <w:rPr>
          <w:rFonts w:ascii="Calibri" w:hAnsi="Calibri" w:cs="Calibri"/>
        </w:rPr>
        <w:t xml:space="preserve"> u </w:t>
      </w:r>
      <w:proofErr w:type="spellStart"/>
      <w:r w:rsidRPr="001975D5">
        <w:rPr>
          <w:rFonts w:ascii="Calibri" w:hAnsi="Calibri" w:cs="Calibri"/>
        </w:rPr>
        <w:t>Republici</w:t>
      </w:r>
      <w:proofErr w:type="spellEnd"/>
      <w:r w:rsidRPr="001975D5">
        <w:rPr>
          <w:rFonts w:ascii="Calibri" w:hAnsi="Calibri" w:cs="Calibri"/>
        </w:rPr>
        <w:t xml:space="preserve"> </w:t>
      </w:r>
      <w:proofErr w:type="spellStart"/>
      <w:r w:rsidRPr="001975D5">
        <w:rPr>
          <w:rFonts w:ascii="Calibri" w:hAnsi="Calibri" w:cs="Calibri"/>
        </w:rPr>
        <w:t>Srpskoj</w:t>
      </w:r>
      <w:proofErr w:type="spellEnd"/>
      <w:r w:rsidRPr="001975D5">
        <w:rPr>
          <w:rFonts w:ascii="Calibri" w:hAnsi="Calibri" w:cs="Calibri"/>
        </w:rPr>
        <w:t>.</w:t>
      </w:r>
    </w:p>
    <w:p w:rsidR="00321C8E" w:rsidRPr="001975D5" w:rsidRDefault="00321C8E" w:rsidP="00321C8E">
      <w:pPr>
        <w:shd w:val="clear" w:color="auto" w:fill="FFFFFF"/>
        <w:rPr>
          <w:rFonts w:ascii="Calibri" w:hAnsi="Calibri" w:cs="Calibri"/>
        </w:rPr>
      </w:pPr>
    </w:p>
    <w:p w:rsidR="00321C8E" w:rsidRPr="001975D5" w:rsidRDefault="00321C8E" w:rsidP="00321C8E">
      <w:pPr>
        <w:shd w:val="clear" w:color="auto" w:fill="FFFFFF"/>
        <w:rPr>
          <w:rFonts w:ascii="Calibri" w:hAnsi="Calibri" w:cs="Calibri"/>
        </w:rPr>
      </w:pPr>
    </w:p>
    <w:p w:rsidR="00321C8E" w:rsidRPr="001975D5" w:rsidRDefault="00321C8E" w:rsidP="00321C8E">
      <w:pPr>
        <w:rPr>
          <w:rFonts w:ascii="Calibri" w:hAnsi="Calibri" w:cs="Calibri"/>
          <w:b/>
          <w:noProof/>
        </w:rPr>
      </w:pPr>
      <w:r w:rsidRPr="001975D5">
        <w:rPr>
          <w:rFonts w:ascii="Calibri" w:hAnsi="Calibri" w:cs="Calibri"/>
          <w:b/>
          <w:noProof/>
        </w:rPr>
        <w:t>2.5.</w:t>
      </w:r>
      <w:r w:rsidRPr="001975D5">
        <w:rPr>
          <w:rFonts w:ascii="Calibri" w:hAnsi="Calibri" w:cs="Calibri"/>
          <w:b/>
          <w:noProof/>
        </w:rPr>
        <w:tab/>
        <w:t>Stalnost poslovanja</w:t>
      </w:r>
    </w:p>
    <w:p w:rsidR="00321C8E" w:rsidRPr="001975D5" w:rsidRDefault="00321C8E" w:rsidP="00321C8E">
      <w:pPr>
        <w:shd w:val="clear" w:color="auto" w:fill="FFFFFF"/>
        <w:rPr>
          <w:rFonts w:ascii="Calibri" w:hAnsi="Calibri" w:cs="Calibri"/>
        </w:rPr>
      </w:pPr>
    </w:p>
    <w:p w:rsidR="00321C8E" w:rsidRPr="001975D5" w:rsidRDefault="00321C8E" w:rsidP="00321C8E">
      <w:pPr>
        <w:rPr>
          <w:rFonts w:ascii="Calibri" w:hAnsi="Calibri" w:cs="Calibri"/>
          <w:noProof/>
        </w:rPr>
      </w:pPr>
      <w:r w:rsidRPr="001975D5">
        <w:rPr>
          <w:rFonts w:ascii="Calibri" w:hAnsi="Calibri" w:cs="Calibri"/>
          <w:noProof/>
        </w:rPr>
        <w:t xml:space="preserve">Finansijski izvještaji Fonda su sastavljeni u skladu sa načelom stalnosti poslovanja, koje podrazumijeva da će Fond nastaviti sa poslovanjem u doglednoj budućnosti, koja obuhvata period od najmanje dvanaest mjeseci od datuma finansijskih izvještaja. </w:t>
      </w:r>
    </w:p>
    <w:p w:rsidR="00321C8E" w:rsidRPr="001975D5" w:rsidRDefault="00321C8E" w:rsidP="00321C8E">
      <w:pPr>
        <w:shd w:val="clear" w:color="auto" w:fill="FFFFFF"/>
        <w:rPr>
          <w:rFonts w:ascii="Calibri" w:hAnsi="Calibri" w:cs="Calibri"/>
        </w:rPr>
      </w:pPr>
    </w:p>
    <w:p w:rsidR="00321C8E" w:rsidRPr="001975D5" w:rsidRDefault="00321C8E" w:rsidP="00321C8E">
      <w:pPr>
        <w:shd w:val="clear" w:color="auto" w:fill="FFFFFF"/>
        <w:rPr>
          <w:rFonts w:ascii="Calibri" w:hAnsi="Calibri" w:cs="Calibri"/>
        </w:rPr>
      </w:pPr>
    </w:p>
    <w:p w:rsidR="00321C8E" w:rsidRPr="001975D5" w:rsidRDefault="00321C8E" w:rsidP="00321C8E">
      <w:pPr>
        <w:rPr>
          <w:rFonts w:ascii="Calibri" w:hAnsi="Calibri" w:cs="Calibri"/>
          <w:b/>
          <w:noProof/>
        </w:rPr>
      </w:pPr>
      <w:r w:rsidRPr="001975D5">
        <w:rPr>
          <w:rFonts w:ascii="Calibri" w:hAnsi="Calibri" w:cs="Calibri"/>
          <w:b/>
          <w:noProof/>
        </w:rPr>
        <w:t>2.6.</w:t>
      </w:r>
      <w:r w:rsidRPr="001975D5">
        <w:rPr>
          <w:rFonts w:ascii="Calibri" w:hAnsi="Calibri" w:cs="Calibri"/>
          <w:b/>
          <w:noProof/>
        </w:rPr>
        <w:tab/>
        <w:t>Korišćenje procjenjivanja</w:t>
      </w:r>
    </w:p>
    <w:p w:rsidR="00321C8E" w:rsidRPr="001975D5" w:rsidRDefault="00321C8E" w:rsidP="00321C8E">
      <w:pPr>
        <w:rPr>
          <w:rFonts w:ascii="Calibri" w:hAnsi="Calibri" w:cs="Calibri"/>
          <w:noProof/>
        </w:rPr>
      </w:pPr>
    </w:p>
    <w:p w:rsidR="00321C8E" w:rsidRPr="001975D5" w:rsidRDefault="00321C8E" w:rsidP="00321C8E">
      <w:pPr>
        <w:rPr>
          <w:rFonts w:ascii="Calibri" w:hAnsi="Calibri" w:cs="Calibri"/>
          <w:noProof/>
        </w:rPr>
      </w:pPr>
      <w:r w:rsidRPr="001975D5">
        <w:rPr>
          <w:rFonts w:ascii="Calibri" w:hAnsi="Calibri" w:cs="Calibri"/>
          <w:noProof/>
        </w:rPr>
        <w:t xml:space="preserve">Sastavljanje finansijskih izvještaja u skladu sa MSFI zahtijeva primjenu izvjesnih ključnih računovodstvenih procjena. Ono, takođe, zahtijeva da rukovodstvo koristi svoje prosuđivanje u primjeni računovodstvenih politika Fonda. Ove procjene i pretpostavke su zasnovane na informacijama raspoloživim na dan sastavljanja finansijskih izvještaja. Stvarni rezultati mogu odstupati od ovih procjena. </w:t>
      </w:r>
    </w:p>
    <w:p w:rsidR="00321C8E" w:rsidRPr="001975D5" w:rsidRDefault="00321C8E" w:rsidP="00321C8E">
      <w:pPr>
        <w:rPr>
          <w:rFonts w:ascii="Calibri" w:hAnsi="Calibri" w:cs="Calibri"/>
          <w:noProof/>
        </w:rPr>
      </w:pPr>
    </w:p>
    <w:p w:rsidR="00321C8E" w:rsidRPr="001975D5" w:rsidRDefault="00321C8E" w:rsidP="00321C8E">
      <w:pPr>
        <w:pStyle w:val="BodySingle"/>
        <w:jc w:val="both"/>
        <w:rPr>
          <w:rFonts w:ascii="Calibri" w:hAnsi="Calibri" w:cs="Calibri"/>
          <w:noProof/>
          <w:color w:val="auto"/>
          <w:lang w:val="sr-Latn-RS"/>
        </w:rPr>
      </w:pPr>
      <w:r w:rsidRPr="001975D5">
        <w:rPr>
          <w:rFonts w:ascii="Calibri" w:hAnsi="Calibri" w:cs="Calibri"/>
          <w:noProof/>
          <w:color w:val="auto"/>
        </w:rPr>
        <w:t>Procjene, kao i pretpostavke na osnovu kojih su izvršene procjene, predmet su redovnih provjera. Ukoliko se putem provjera utvrdi da je došlo do promjene u procijenjenoj vrijednosti, utvrđeni efekti se priznaju u finansijskim izvještajima u periodu kada je do promjene došlo. Oblasti koje zahtijevaju prosuđivanje većeg stepena ili veće složenosti, odnosno oblasti u kojima pretpostavke i procjene imaju materijalni značaj za finansijske izvještaje objelodanjene su u Napomeni 4.</w:t>
      </w:r>
    </w:p>
    <w:p w:rsidR="00F33B00" w:rsidRDefault="00F33B00" w:rsidP="00073CB9">
      <w:pPr>
        <w:pStyle w:val="Header"/>
        <w:suppressAutoHyphens/>
        <w:jc w:val="both"/>
        <w:rPr>
          <w:rFonts w:ascii="Calibri" w:hAnsi="Calibri" w:cs="Calibri"/>
          <w:sz w:val="24"/>
          <w:szCs w:val="24"/>
          <w:lang w:val="sr-Latn-CS" w:eastAsia="en-US"/>
        </w:rPr>
      </w:pPr>
    </w:p>
    <w:p w:rsidR="006D6EB6" w:rsidRPr="00321C8E" w:rsidRDefault="006D6EB6" w:rsidP="00321C8E">
      <w:pPr>
        <w:tabs>
          <w:tab w:val="left" w:pos="-1440"/>
          <w:tab w:val="left" w:pos="-720"/>
          <w:tab w:val="left" w:pos="269"/>
          <w:tab w:val="left" w:pos="993"/>
          <w:tab w:val="left" w:pos="1075"/>
          <w:tab w:val="left" w:pos="1276"/>
          <w:tab w:val="center" w:pos="6293"/>
          <w:tab w:val="left" w:pos="6498"/>
          <w:tab w:val="right" w:pos="7526"/>
          <w:tab w:val="left" w:pos="7728"/>
          <w:tab w:val="right" w:pos="9005"/>
        </w:tabs>
        <w:suppressAutoHyphens/>
        <w:jc w:val="both"/>
        <w:rPr>
          <w:rFonts w:ascii="Calibri" w:hAnsi="Calibri" w:cs="Calibri"/>
          <w:noProof/>
          <w:lang w:val="sr-Latn-BA"/>
        </w:rPr>
      </w:pPr>
    </w:p>
    <w:p w:rsidR="006D6EB6" w:rsidRPr="00A47E7E" w:rsidRDefault="006D6EB6" w:rsidP="00B64A52">
      <w:pPr>
        <w:pStyle w:val="Heading1"/>
        <w:rPr>
          <w:rFonts w:ascii="Calibri" w:hAnsi="Calibri" w:cs="Calibri"/>
          <w:noProof/>
          <w:sz w:val="24"/>
          <w:szCs w:val="24"/>
        </w:rPr>
      </w:pPr>
      <w:bookmarkStart w:id="6" w:name="_Toc64534432"/>
      <w:r w:rsidRPr="00A47E7E">
        <w:rPr>
          <w:rFonts w:ascii="Calibri" w:hAnsi="Calibri" w:cs="Calibri"/>
          <w:noProof/>
          <w:sz w:val="24"/>
          <w:szCs w:val="24"/>
        </w:rPr>
        <w:lastRenderedPageBreak/>
        <w:t>PREGLED ZNAČAJNIH RAČUNOVODSTVENIH POLITIKA</w:t>
      </w:r>
      <w:bookmarkEnd w:id="6"/>
      <w:r w:rsidRPr="00A47E7E">
        <w:rPr>
          <w:rFonts w:ascii="Calibri" w:hAnsi="Calibri" w:cs="Calibri"/>
          <w:noProof/>
          <w:sz w:val="24"/>
          <w:szCs w:val="24"/>
        </w:rPr>
        <w:t xml:space="preserve"> </w:t>
      </w:r>
    </w:p>
    <w:p w:rsidR="006D6EB6" w:rsidRPr="00A47E7E" w:rsidRDefault="006D6EB6" w:rsidP="006D6EB6">
      <w:pPr>
        <w:tabs>
          <w:tab w:val="left" w:pos="-1440"/>
          <w:tab w:val="left" w:pos="-720"/>
          <w:tab w:val="left" w:pos="0"/>
          <w:tab w:val="left" w:pos="142"/>
          <w:tab w:val="left" w:pos="284"/>
          <w:tab w:val="left" w:pos="720"/>
          <w:tab w:val="left" w:pos="889"/>
        </w:tabs>
        <w:suppressAutoHyphens/>
        <w:ind w:left="567"/>
        <w:jc w:val="both"/>
        <w:rPr>
          <w:rFonts w:ascii="Calibri" w:hAnsi="Calibri" w:cs="Calibri"/>
          <w:noProof/>
        </w:rPr>
      </w:pPr>
    </w:p>
    <w:p w:rsidR="006D6EB6" w:rsidRPr="00A47E7E" w:rsidRDefault="002C19C3" w:rsidP="00F014B7">
      <w:pPr>
        <w:pStyle w:val="Heading2"/>
        <w:jc w:val="center"/>
        <w:rPr>
          <w:rFonts w:ascii="Calibri" w:hAnsi="Calibri" w:cs="Calibri"/>
          <w:noProof/>
          <w:sz w:val="24"/>
          <w:szCs w:val="24"/>
        </w:rPr>
      </w:pPr>
      <w:bookmarkStart w:id="7" w:name="_Toc64534433"/>
      <w:r w:rsidRPr="00A47E7E">
        <w:rPr>
          <w:rFonts w:ascii="Calibri" w:hAnsi="Calibri" w:cs="Calibri"/>
          <w:noProof/>
          <w:sz w:val="24"/>
          <w:szCs w:val="24"/>
        </w:rPr>
        <w:t>Poslovni</w:t>
      </w:r>
      <w:r w:rsidR="006D6EB6" w:rsidRPr="00A47E7E">
        <w:rPr>
          <w:rFonts w:ascii="Calibri" w:hAnsi="Calibri" w:cs="Calibri"/>
          <w:noProof/>
          <w:sz w:val="24"/>
          <w:szCs w:val="24"/>
        </w:rPr>
        <w:t xml:space="preserve"> prihodi</w:t>
      </w:r>
      <w:bookmarkEnd w:id="7"/>
    </w:p>
    <w:p w:rsidR="006D6EB6" w:rsidRPr="00A47E7E" w:rsidRDefault="006D6EB6" w:rsidP="006D6EB6">
      <w:pPr>
        <w:tabs>
          <w:tab w:val="left" w:pos="-1440"/>
          <w:tab w:val="left" w:pos="-720"/>
          <w:tab w:val="left" w:pos="889"/>
          <w:tab w:val="left" w:pos="1231"/>
          <w:tab w:val="right" w:pos="8960"/>
        </w:tabs>
        <w:rPr>
          <w:rFonts w:ascii="Calibri" w:hAnsi="Calibri" w:cs="Calibri"/>
          <w:b/>
          <w:noProof/>
        </w:rPr>
      </w:pPr>
    </w:p>
    <w:p w:rsidR="006D6EB6" w:rsidRPr="00A47E7E" w:rsidRDefault="002C19C3" w:rsidP="006D6EB6">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Poslovni</w:t>
      </w:r>
      <w:r w:rsidR="006D6EB6" w:rsidRPr="00A47E7E">
        <w:rPr>
          <w:rFonts w:ascii="Calibri" w:hAnsi="Calibri" w:cs="Calibri"/>
          <w:noProof/>
        </w:rPr>
        <w:t xml:space="preserve"> prihodi obuhvataju prihode od dividendi od domaćih i stranih emitenata, prihode od kamata na hartije od vrijednosti ("HoV")</w:t>
      </w:r>
      <w:r w:rsidRPr="00A47E7E">
        <w:rPr>
          <w:rFonts w:ascii="Calibri" w:hAnsi="Calibri" w:cs="Calibri"/>
          <w:noProof/>
        </w:rPr>
        <w:t xml:space="preserve"> </w:t>
      </w:r>
      <w:r w:rsidR="001B4C3F" w:rsidRPr="00A47E7E">
        <w:rPr>
          <w:rFonts w:ascii="Calibri" w:hAnsi="Calibri" w:cs="Calibri"/>
          <w:noProof/>
        </w:rPr>
        <w:t>i</w:t>
      </w:r>
      <w:r w:rsidRPr="00A47E7E">
        <w:rPr>
          <w:rFonts w:ascii="Calibri" w:hAnsi="Calibri" w:cs="Calibri"/>
          <w:noProof/>
        </w:rPr>
        <w:t xml:space="preserve"> depozite, te amortizaciju premije (diskonta) po osnovu HOV za fiksnim rokom dospjeća</w:t>
      </w:r>
      <w:r w:rsidR="006D6EB6" w:rsidRPr="00A47E7E">
        <w:rPr>
          <w:rFonts w:ascii="Calibri" w:hAnsi="Calibri" w:cs="Calibri"/>
          <w:noProof/>
        </w:rPr>
        <w:t xml:space="preserve">. </w:t>
      </w:r>
    </w:p>
    <w:p w:rsidR="006D6EB6" w:rsidRPr="00A47E7E" w:rsidRDefault="006D6EB6" w:rsidP="006D6EB6">
      <w:pPr>
        <w:tabs>
          <w:tab w:val="left" w:pos="-1440"/>
          <w:tab w:val="left" w:pos="-720"/>
          <w:tab w:val="left" w:pos="889"/>
          <w:tab w:val="left" w:pos="1231"/>
          <w:tab w:val="right" w:pos="8960"/>
        </w:tabs>
        <w:jc w:val="both"/>
        <w:rPr>
          <w:rFonts w:ascii="Calibri" w:hAnsi="Calibri" w:cs="Calibri"/>
          <w:i/>
          <w:noProof/>
        </w:rPr>
      </w:pPr>
    </w:p>
    <w:p w:rsidR="006D6EB6" w:rsidRPr="00A47E7E" w:rsidRDefault="006D6EB6" w:rsidP="006D6EB6">
      <w:pPr>
        <w:tabs>
          <w:tab w:val="left" w:pos="-1440"/>
          <w:tab w:val="left" w:pos="-720"/>
          <w:tab w:val="left" w:pos="889"/>
          <w:tab w:val="left" w:pos="1231"/>
          <w:tab w:val="right" w:pos="8960"/>
        </w:tabs>
        <w:jc w:val="both"/>
        <w:rPr>
          <w:rFonts w:ascii="Calibri" w:hAnsi="Calibri" w:cs="Calibri"/>
          <w:i/>
          <w:noProof/>
        </w:rPr>
      </w:pPr>
      <w:r w:rsidRPr="00A47E7E">
        <w:rPr>
          <w:rFonts w:ascii="Calibri" w:hAnsi="Calibri" w:cs="Calibri"/>
          <w:i/>
          <w:noProof/>
        </w:rPr>
        <w:t>Prihodi od kamata</w:t>
      </w:r>
    </w:p>
    <w:p w:rsidR="006D6EB6" w:rsidRPr="00A47E7E" w:rsidRDefault="006D6EB6" w:rsidP="006D6EB6">
      <w:pPr>
        <w:tabs>
          <w:tab w:val="left" w:pos="-1440"/>
          <w:tab w:val="left" w:pos="-720"/>
          <w:tab w:val="left" w:pos="889"/>
          <w:tab w:val="left" w:pos="1231"/>
          <w:tab w:val="right" w:pos="8960"/>
        </w:tabs>
        <w:jc w:val="both"/>
        <w:rPr>
          <w:rFonts w:ascii="Calibri" w:hAnsi="Calibri" w:cs="Calibri"/>
          <w:noProof/>
        </w:rPr>
      </w:pPr>
    </w:p>
    <w:p w:rsidR="006D6EB6" w:rsidRPr="00A47E7E" w:rsidRDefault="006D6EB6" w:rsidP="006D6EB6">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Prihodi od kamata na finansijsku imovinu se priznaju kada je vjerovatan priliv budućih ekonomskih koristi Fondu i kada je iznos prihoda pouzdano mjerljiv. Prihod od kamata je vremenski razgraničen i priznaje se metodom efektivne kamatne stope, koja predstavlja stopu koja tačno diskontuje (svodi) procijenjene buduće novčane tokove u toku očekivanog vijeka finansijske imovine na neto nadoknadivu vrijednost te imovine prilikom inicijalnog priznavanja.</w:t>
      </w:r>
    </w:p>
    <w:p w:rsidR="002C19C3" w:rsidRPr="00A47E7E" w:rsidRDefault="002C19C3" w:rsidP="006D6EB6">
      <w:pPr>
        <w:tabs>
          <w:tab w:val="left" w:pos="-1440"/>
          <w:tab w:val="left" w:pos="-720"/>
          <w:tab w:val="left" w:pos="889"/>
          <w:tab w:val="left" w:pos="1231"/>
          <w:tab w:val="right" w:pos="8960"/>
        </w:tabs>
        <w:jc w:val="both"/>
        <w:rPr>
          <w:rFonts w:ascii="Calibri" w:hAnsi="Calibri" w:cs="Calibri"/>
          <w:noProof/>
        </w:rPr>
      </w:pPr>
    </w:p>
    <w:p w:rsidR="002C19C3" w:rsidRPr="00A47E7E" w:rsidRDefault="002C19C3" w:rsidP="006D6EB6">
      <w:pPr>
        <w:tabs>
          <w:tab w:val="left" w:pos="-1440"/>
          <w:tab w:val="left" w:pos="-720"/>
          <w:tab w:val="left" w:pos="889"/>
          <w:tab w:val="left" w:pos="1231"/>
          <w:tab w:val="right" w:pos="8960"/>
        </w:tabs>
        <w:jc w:val="both"/>
        <w:rPr>
          <w:rFonts w:ascii="Calibri" w:hAnsi="Calibri" w:cs="Calibri"/>
          <w:i/>
          <w:noProof/>
        </w:rPr>
      </w:pPr>
      <w:r w:rsidRPr="00A47E7E">
        <w:rPr>
          <w:rFonts w:ascii="Calibri" w:hAnsi="Calibri" w:cs="Calibri"/>
          <w:i/>
          <w:noProof/>
        </w:rPr>
        <w:t>Amortizacija premije (diskonta) po osnovu HOV sa fiksnim rokom dospjeća</w:t>
      </w:r>
    </w:p>
    <w:p w:rsidR="002C19C3" w:rsidRPr="00A47E7E" w:rsidRDefault="002C19C3" w:rsidP="006D6EB6">
      <w:pPr>
        <w:tabs>
          <w:tab w:val="left" w:pos="-1440"/>
          <w:tab w:val="left" w:pos="-720"/>
          <w:tab w:val="left" w:pos="889"/>
          <w:tab w:val="left" w:pos="1231"/>
          <w:tab w:val="right" w:pos="8960"/>
        </w:tabs>
        <w:jc w:val="both"/>
        <w:rPr>
          <w:rFonts w:ascii="Calibri" w:hAnsi="Calibri" w:cs="Calibri"/>
          <w:noProof/>
        </w:rPr>
      </w:pPr>
    </w:p>
    <w:p w:rsidR="002C19C3" w:rsidRPr="00A47E7E" w:rsidRDefault="002C19C3" w:rsidP="002C19C3">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Amortizacija premije (diskonta) po osnovu HOV sa fiksnim rokom dospjeća se priznaje u imovinu metodom efektivne kamatne stope koja predstavlja stopu koja tačno diskontuje (svodi) procjenjene buduće novčane tokove u toku očekivanog vijeka finansijske imovine na neto nadoknadivu vrijednost te imovine prilikom inicijalnog priznavanja.</w:t>
      </w:r>
    </w:p>
    <w:p w:rsidR="006D6EB6" w:rsidRPr="00A47E7E" w:rsidRDefault="006D6EB6" w:rsidP="006D6EB6">
      <w:pPr>
        <w:tabs>
          <w:tab w:val="left" w:pos="-1440"/>
          <w:tab w:val="left" w:pos="-720"/>
          <w:tab w:val="left" w:pos="889"/>
          <w:tab w:val="left" w:pos="1231"/>
          <w:tab w:val="right" w:pos="8960"/>
        </w:tabs>
        <w:jc w:val="both"/>
        <w:rPr>
          <w:rFonts w:ascii="Calibri" w:hAnsi="Calibri" w:cs="Calibri"/>
          <w:noProof/>
        </w:rPr>
      </w:pPr>
    </w:p>
    <w:p w:rsidR="006D6EB6" w:rsidRPr="00A47E7E" w:rsidRDefault="006D6EB6" w:rsidP="006D6EB6">
      <w:pPr>
        <w:tabs>
          <w:tab w:val="left" w:pos="-1440"/>
          <w:tab w:val="left" w:pos="-720"/>
          <w:tab w:val="left" w:pos="889"/>
          <w:tab w:val="left" w:pos="1231"/>
          <w:tab w:val="right" w:pos="8960"/>
        </w:tabs>
        <w:jc w:val="both"/>
        <w:rPr>
          <w:rFonts w:ascii="Calibri" w:hAnsi="Calibri" w:cs="Calibri"/>
          <w:i/>
          <w:noProof/>
        </w:rPr>
      </w:pPr>
      <w:r w:rsidRPr="00A47E7E">
        <w:rPr>
          <w:rFonts w:ascii="Calibri" w:hAnsi="Calibri" w:cs="Calibri"/>
          <w:i/>
          <w:noProof/>
        </w:rPr>
        <w:t>Realizovani dobici i gubici od ulaganja</w:t>
      </w:r>
    </w:p>
    <w:p w:rsidR="006D6EB6" w:rsidRPr="00A47E7E" w:rsidRDefault="006D6EB6" w:rsidP="006D6EB6">
      <w:pPr>
        <w:tabs>
          <w:tab w:val="left" w:pos="-1440"/>
          <w:tab w:val="left" w:pos="-720"/>
          <w:tab w:val="left" w:pos="889"/>
          <w:tab w:val="left" w:pos="1231"/>
          <w:tab w:val="right" w:pos="8960"/>
        </w:tabs>
        <w:jc w:val="both"/>
        <w:rPr>
          <w:rFonts w:ascii="Calibri" w:hAnsi="Calibri" w:cs="Calibri"/>
          <w:noProof/>
        </w:rPr>
      </w:pPr>
    </w:p>
    <w:p w:rsidR="006D6EB6" w:rsidRPr="00A47E7E" w:rsidRDefault="006D6EB6" w:rsidP="006D6EB6">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 xml:space="preserve">Realizovani dobici i gubici od ulaganja se obračunavaju kao razlika ostvarene prodajne i nabavne, odnosno knjigovodstvene vrijednosti </w:t>
      </w:r>
      <w:r w:rsidR="001B4C3F" w:rsidRPr="00A47E7E">
        <w:rPr>
          <w:rFonts w:ascii="Calibri" w:hAnsi="Calibri" w:cs="Calibri"/>
          <w:noProof/>
        </w:rPr>
        <w:t>HOV</w:t>
      </w:r>
      <w:r w:rsidRPr="00A47E7E">
        <w:rPr>
          <w:rFonts w:ascii="Calibri" w:hAnsi="Calibri" w:cs="Calibri"/>
          <w:noProof/>
        </w:rPr>
        <w:t>, i evidentiraju se u okviru bilansa uspjeha kao neto realizovani dobitak/(gubitak) od transakcija sa ulaganjima primjenom FIFO metode. </w:t>
      </w:r>
    </w:p>
    <w:p w:rsidR="006D6EB6" w:rsidRPr="00A47E7E" w:rsidRDefault="006D6EB6" w:rsidP="006D6EB6">
      <w:pPr>
        <w:tabs>
          <w:tab w:val="left" w:pos="-1440"/>
          <w:tab w:val="left" w:pos="-720"/>
          <w:tab w:val="left" w:pos="889"/>
          <w:tab w:val="left" w:pos="1231"/>
          <w:tab w:val="right" w:pos="8960"/>
        </w:tabs>
        <w:jc w:val="both"/>
        <w:rPr>
          <w:rFonts w:ascii="Calibri" w:hAnsi="Calibri" w:cs="Calibri"/>
          <w:noProof/>
        </w:rPr>
      </w:pPr>
    </w:p>
    <w:p w:rsidR="006D6EB6" w:rsidRPr="00A47E7E" w:rsidRDefault="006D6EB6" w:rsidP="006D6EB6">
      <w:pPr>
        <w:tabs>
          <w:tab w:val="left" w:pos="-1440"/>
          <w:tab w:val="left" w:pos="-720"/>
          <w:tab w:val="left" w:pos="889"/>
          <w:tab w:val="left" w:pos="1231"/>
          <w:tab w:val="right" w:pos="8960"/>
        </w:tabs>
        <w:jc w:val="both"/>
        <w:rPr>
          <w:rFonts w:ascii="Calibri" w:hAnsi="Calibri" w:cs="Calibri"/>
          <w:i/>
          <w:noProof/>
        </w:rPr>
      </w:pPr>
      <w:r w:rsidRPr="00A47E7E">
        <w:rPr>
          <w:rFonts w:ascii="Calibri" w:hAnsi="Calibri" w:cs="Calibri"/>
          <w:i/>
          <w:noProof/>
        </w:rPr>
        <w:t>Prihodi od dividendi</w:t>
      </w:r>
    </w:p>
    <w:p w:rsidR="006D6EB6" w:rsidRPr="00A47E7E" w:rsidRDefault="006D6EB6" w:rsidP="006D6EB6">
      <w:pPr>
        <w:tabs>
          <w:tab w:val="left" w:pos="-1440"/>
          <w:tab w:val="left" w:pos="-720"/>
          <w:tab w:val="left" w:pos="889"/>
          <w:tab w:val="left" w:pos="1231"/>
          <w:tab w:val="right" w:pos="8960"/>
        </w:tabs>
        <w:jc w:val="both"/>
        <w:rPr>
          <w:rFonts w:ascii="Calibri" w:hAnsi="Calibri" w:cs="Calibri"/>
          <w:noProof/>
        </w:rPr>
      </w:pPr>
    </w:p>
    <w:p w:rsidR="006D6EB6" w:rsidRPr="00A47E7E" w:rsidRDefault="006D6EB6" w:rsidP="006D6EB6">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Prihodi od dividendi od emitenata se evidentiraju u trenutku kada Fond ostvari pravo na dividendu.</w:t>
      </w:r>
    </w:p>
    <w:p w:rsidR="006D6EB6" w:rsidRPr="00A47E7E" w:rsidRDefault="006D6EB6" w:rsidP="006D6EB6">
      <w:pPr>
        <w:tabs>
          <w:tab w:val="left" w:pos="-1440"/>
          <w:tab w:val="left" w:pos="-720"/>
          <w:tab w:val="left" w:pos="889"/>
          <w:tab w:val="left" w:pos="1231"/>
          <w:tab w:val="right" w:pos="8960"/>
        </w:tabs>
        <w:jc w:val="both"/>
        <w:rPr>
          <w:rFonts w:ascii="Calibri" w:hAnsi="Calibri" w:cs="Calibri"/>
          <w:noProof/>
        </w:rPr>
      </w:pPr>
    </w:p>
    <w:p w:rsidR="006D6EB6" w:rsidRPr="00A47E7E" w:rsidRDefault="006D6EB6" w:rsidP="006D6EB6">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Udruženje društava za upravljanje investicionim fondovima (u okviru Privredne komore Republike Srpske) se obratilo Savjetu za računovodstvo i reviziju Republike Srpske radi davanja mišljenja o računovodstvenom tretmanu dividende ''naplaćene'' kroz akcije emitenta u poslovnim knjigama investitora (fonda).</w:t>
      </w:r>
    </w:p>
    <w:p w:rsidR="006D6EB6" w:rsidRPr="00A47E7E" w:rsidRDefault="006D6EB6" w:rsidP="006D6EB6">
      <w:pPr>
        <w:tabs>
          <w:tab w:val="left" w:pos="-1440"/>
          <w:tab w:val="left" w:pos="-720"/>
          <w:tab w:val="left" w:pos="889"/>
          <w:tab w:val="left" w:pos="1231"/>
          <w:tab w:val="right" w:pos="8960"/>
        </w:tabs>
        <w:jc w:val="both"/>
        <w:rPr>
          <w:rFonts w:ascii="Calibri" w:hAnsi="Calibri" w:cs="Calibri"/>
          <w:noProof/>
        </w:rPr>
      </w:pPr>
    </w:p>
    <w:p w:rsidR="006D6EB6" w:rsidRPr="00A47E7E" w:rsidRDefault="006D6EB6" w:rsidP="006D6EB6">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lastRenderedPageBreak/>
        <w:t>Savjet za računovodstvo i reviziju Republike Srpske je dostavio Udruženju svoje Mišljenje broj 06.15/020 – 2105/6/7 – 1/11 od 8. februara 2012. godine u kojem je naveo da dividendu u obliku besplatnih akcija treba priznati kao prihod perioda u poslovnim knjigama investitora. Stav Savjeta za računovodstvo i reviziju Republike Srpske je, da činjenica da se potraživanja za dividende ne ''naplaćuju'' u gotovini, nego u akcijama, nije od presudnog značaja za priznavanje prihoda od dividende, jer je potpuno nesporno da se kod investitora (fonda) dešava realan priliv ekonomskih koristi po osnovu namirenja potraživanja za dividende.</w:t>
      </w:r>
    </w:p>
    <w:p w:rsidR="006D6EB6" w:rsidRPr="00A47E7E" w:rsidRDefault="006D6EB6" w:rsidP="006D6EB6">
      <w:pPr>
        <w:tabs>
          <w:tab w:val="left" w:pos="-1440"/>
          <w:tab w:val="left" w:pos="-720"/>
          <w:tab w:val="left" w:pos="889"/>
          <w:tab w:val="left" w:pos="1231"/>
          <w:tab w:val="right" w:pos="8960"/>
        </w:tabs>
        <w:jc w:val="both"/>
        <w:rPr>
          <w:rFonts w:ascii="Calibri" w:hAnsi="Calibri" w:cs="Calibri"/>
          <w:noProof/>
        </w:rPr>
      </w:pPr>
    </w:p>
    <w:p w:rsidR="006D6EB6" w:rsidRPr="00A47E7E" w:rsidRDefault="002C19C3" w:rsidP="00F014B7">
      <w:pPr>
        <w:pStyle w:val="Heading2"/>
        <w:jc w:val="center"/>
        <w:rPr>
          <w:rFonts w:ascii="Calibri" w:hAnsi="Calibri" w:cs="Calibri"/>
          <w:noProof/>
          <w:sz w:val="24"/>
          <w:szCs w:val="24"/>
        </w:rPr>
      </w:pPr>
      <w:bookmarkStart w:id="8" w:name="_Toc64534434"/>
      <w:r w:rsidRPr="00A47E7E">
        <w:rPr>
          <w:rFonts w:ascii="Calibri" w:hAnsi="Calibri" w:cs="Calibri"/>
          <w:noProof/>
          <w:sz w:val="24"/>
          <w:szCs w:val="24"/>
        </w:rPr>
        <w:t>Poslovni</w:t>
      </w:r>
      <w:r w:rsidR="006D6EB6" w:rsidRPr="00A47E7E">
        <w:rPr>
          <w:rFonts w:ascii="Calibri" w:hAnsi="Calibri" w:cs="Calibri"/>
          <w:noProof/>
          <w:sz w:val="24"/>
          <w:szCs w:val="24"/>
        </w:rPr>
        <w:t xml:space="preserve"> rashodi</w:t>
      </w:r>
      <w:bookmarkEnd w:id="8"/>
    </w:p>
    <w:p w:rsidR="006D6EB6" w:rsidRPr="00A47E7E" w:rsidRDefault="006D6EB6" w:rsidP="006D6EB6">
      <w:pPr>
        <w:tabs>
          <w:tab w:val="left" w:pos="-1440"/>
          <w:tab w:val="left" w:pos="-720"/>
          <w:tab w:val="left" w:pos="889"/>
          <w:tab w:val="left" w:pos="1231"/>
          <w:tab w:val="right" w:pos="8960"/>
        </w:tabs>
        <w:rPr>
          <w:rFonts w:ascii="Calibri" w:hAnsi="Calibri" w:cs="Calibri"/>
          <w:b/>
          <w:noProof/>
        </w:rPr>
      </w:pPr>
    </w:p>
    <w:p w:rsidR="006D6EB6" w:rsidRPr="00A47E7E" w:rsidRDefault="006D6EB6" w:rsidP="006D6EB6">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Poslovni rashodi se evidentiraju u trenutku njihovog nastanka. Poslovne rashode Fonda čine: naknada Društvu po osnovu provizije za upravljanje Fondom, naknade depozita</w:t>
      </w:r>
      <w:r w:rsidR="00A43961">
        <w:rPr>
          <w:rFonts w:ascii="Calibri" w:hAnsi="Calibri" w:cs="Calibri"/>
          <w:noProof/>
        </w:rPr>
        <w:t xml:space="preserve">ru, naknade Registru </w:t>
      </w:r>
      <w:r w:rsidRPr="00A47E7E">
        <w:rPr>
          <w:rFonts w:ascii="Calibri" w:hAnsi="Calibri" w:cs="Calibri"/>
          <w:noProof/>
        </w:rPr>
        <w:t>i ostali rashodi.</w:t>
      </w:r>
    </w:p>
    <w:p w:rsidR="006D6EB6" w:rsidRPr="00A47E7E" w:rsidRDefault="006D6EB6" w:rsidP="006D6EB6">
      <w:pPr>
        <w:tabs>
          <w:tab w:val="left" w:pos="-1440"/>
          <w:tab w:val="left" w:pos="-720"/>
          <w:tab w:val="left" w:pos="889"/>
          <w:tab w:val="left" w:pos="1231"/>
          <w:tab w:val="right" w:pos="8960"/>
        </w:tabs>
        <w:jc w:val="both"/>
        <w:rPr>
          <w:rFonts w:ascii="Calibri" w:hAnsi="Calibri" w:cs="Calibri"/>
          <w:noProof/>
        </w:rPr>
      </w:pPr>
    </w:p>
    <w:p w:rsidR="006D6EB6" w:rsidRPr="00A47E7E" w:rsidRDefault="006D6EB6" w:rsidP="006D6EB6">
      <w:pPr>
        <w:tabs>
          <w:tab w:val="left" w:pos="-1440"/>
          <w:tab w:val="left" w:pos="-720"/>
          <w:tab w:val="left" w:pos="889"/>
          <w:tab w:val="left" w:pos="1231"/>
          <w:tab w:val="right" w:pos="8960"/>
        </w:tabs>
        <w:jc w:val="both"/>
        <w:rPr>
          <w:rFonts w:ascii="Calibri" w:hAnsi="Calibri" w:cs="Calibri"/>
          <w:i/>
          <w:noProof/>
        </w:rPr>
      </w:pPr>
      <w:r w:rsidRPr="00A47E7E">
        <w:rPr>
          <w:rFonts w:ascii="Calibri" w:hAnsi="Calibri" w:cs="Calibri"/>
          <w:i/>
          <w:noProof/>
        </w:rPr>
        <w:t>Naknada Društvu za upravljanje</w:t>
      </w:r>
    </w:p>
    <w:p w:rsidR="006D6EB6" w:rsidRPr="00A47E7E" w:rsidRDefault="006D6EB6" w:rsidP="006D6EB6">
      <w:pPr>
        <w:tabs>
          <w:tab w:val="left" w:pos="-1440"/>
          <w:tab w:val="left" w:pos="-720"/>
          <w:tab w:val="left" w:pos="889"/>
          <w:tab w:val="left" w:pos="1231"/>
          <w:tab w:val="right" w:pos="8960"/>
        </w:tabs>
        <w:jc w:val="both"/>
        <w:rPr>
          <w:rFonts w:ascii="Calibri" w:hAnsi="Calibri" w:cs="Calibri"/>
          <w:noProof/>
        </w:rPr>
      </w:pPr>
    </w:p>
    <w:p w:rsidR="006D6EB6" w:rsidRDefault="006D6EB6" w:rsidP="006D6EB6">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 xml:space="preserve">Rashodi po osnovu naknada Društvu za upravljanje se evidentiraju u visini iznosa obračunatog od strane </w:t>
      </w:r>
      <w:r w:rsidR="003320F5" w:rsidRPr="00A47E7E">
        <w:rPr>
          <w:rFonts w:ascii="Calibri" w:hAnsi="Calibri" w:cs="Calibri"/>
          <w:noProof/>
        </w:rPr>
        <w:t>Društva</w:t>
      </w:r>
      <w:r w:rsidR="00C454BF">
        <w:rPr>
          <w:rFonts w:ascii="Calibri" w:hAnsi="Calibri" w:cs="Calibri"/>
          <w:noProof/>
        </w:rPr>
        <w:t>,</w:t>
      </w:r>
      <w:r w:rsidR="003320F5" w:rsidRPr="00A47E7E">
        <w:rPr>
          <w:rFonts w:ascii="Calibri" w:hAnsi="Calibri" w:cs="Calibri"/>
          <w:noProof/>
        </w:rPr>
        <w:t xml:space="preserve"> a koje potvrđuje Banka depozitar</w:t>
      </w:r>
      <w:r w:rsidRPr="00A47E7E">
        <w:rPr>
          <w:rFonts w:ascii="Calibri" w:hAnsi="Calibri" w:cs="Calibri"/>
          <w:noProof/>
        </w:rPr>
        <w:t xml:space="preserve">. Visina naknade za upravljanjem fondom obračunavala se </w:t>
      </w:r>
      <w:r w:rsidR="00C454BF">
        <w:rPr>
          <w:rFonts w:ascii="Calibri" w:hAnsi="Calibri" w:cs="Calibri"/>
          <w:noProof/>
        </w:rPr>
        <w:t>po stopi od 2,8 % neto vrijednosti imovine fonda (čl. 94 Zakon</w:t>
      </w:r>
      <w:r w:rsidR="00117CEE">
        <w:rPr>
          <w:rFonts w:ascii="Calibri" w:hAnsi="Calibri" w:cs="Calibri"/>
          <w:noProof/>
        </w:rPr>
        <w:t>a) zaključno sa danom</w:t>
      </w:r>
      <w:r w:rsidR="00C87210">
        <w:rPr>
          <w:rFonts w:ascii="Calibri" w:hAnsi="Calibri" w:cs="Calibri"/>
          <w:noProof/>
        </w:rPr>
        <w:t xml:space="preserve"> 31.03.2021</w:t>
      </w:r>
      <w:r w:rsidR="00C454BF">
        <w:rPr>
          <w:rFonts w:ascii="Calibri" w:hAnsi="Calibri" w:cs="Calibri"/>
          <w:noProof/>
        </w:rPr>
        <w:t>. god.</w:t>
      </w:r>
    </w:p>
    <w:p w:rsidR="00C454BF" w:rsidRPr="00A47E7E" w:rsidRDefault="00C454BF" w:rsidP="006D6EB6">
      <w:pPr>
        <w:tabs>
          <w:tab w:val="left" w:pos="-1440"/>
          <w:tab w:val="left" w:pos="-720"/>
          <w:tab w:val="left" w:pos="889"/>
          <w:tab w:val="left" w:pos="1231"/>
          <w:tab w:val="right" w:pos="8960"/>
        </w:tabs>
        <w:jc w:val="both"/>
        <w:rPr>
          <w:rFonts w:ascii="Calibri" w:hAnsi="Calibri" w:cs="Calibri"/>
          <w:noProof/>
        </w:rPr>
      </w:pPr>
    </w:p>
    <w:p w:rsidR="006D6EB6" w:rsidRPr="00A47E7E" w:rsidRDefault="006D6EB6" w:rsidP="006D6EB6">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Krajem 2015. godine, Komisija je usvojila Pravilnik o utvrđivanju vrijednosti imovine investicionog fonda i obračunu neto vrijednosti imovine po udjelu ili po akciji investicionog fonda (''Službeni glasnik RS'', broj 108/15, u daljem tekstu ''Pravilnik''). Članom 3. Stav 4. Definisano je da pri utvrđivanju osnovice za obračun naknade društvu za upravljanje u ukupnu imovinu investicionog fonda na dan vrednovanja uključuju se sve vrste imovine u dijelu koji zadovoljava kriterijume dozvoljenih ulaganja i kriterijume ograničenja ulaganja propisane Zakonom.</w:t>
      </w:r>
    </w:p>
    <w:p w:rsidR="006D6EB6" w:rsidRPr="00A47E7E" w:rsidRDefault="006D6EB6" w:rsidP="006D6EB6">
      <w:pPr>
        <w:tabs>
          <w:tab w:val="left" w:pos="-1440"/>
          <w:tab w:val="left" w:pos="-720"/>
          <w:tab w:val="left" w:pos="889"/>
          <w:tab w:val="left" w:pos="1231"/>
          <w:tab w:val="right" w:pos="8960"/>
        </w:tabs>
        <w:jc w:val="both"/>
        <w:rPr>
          <w:rFonts w:ascii="Calibri" w:hAnsi="Calibri" w:cs="Calibri"/>
          <w:noProof/>
        </w:rPr>
      </w:pPr>
    </w:p>
    <w:p w:rsidR="00073CB9" w:rsidRPr="00A47E7E" w:rsidRDefault="00073CB9" w:rsidP="006D6EB6">
      <w:pPr>
        <w:pStyle w:val="Header"/>
        <w:suppressAutoHyphens/>
        <w:ind w:left="567"/>
        <w:jc w:val="both"/>
        <w:rPr>
          <w:rFonts w:ascii="Calibri" w:hAnsi="Calibri" w:cs="Calibri"/>
          <w:noProof/>
          <w:lang w:val="sr-Latn-BA"/>
        </w:rPr>
      </w:pPr>
    </w:p>
    <w:p w:rsidR="00EF4125" w:rsidRPr="00A47E7E" w:rsidRDefault="00EF4125" w:rsidP="00F014B7">
      <w:pPr>
        <w:pStyle w:val="Heading2"/>
        <w:jc w:val="center"/>
        <w:rPr>
          <w:rFonts w:ascii="Calibri" w:hAnsi="Calibri" w:cs="Calibri"/>
          <w:noProof/>
          <w:sz w:val="24"/>
          <w:szCs w:val="24"/>
        </w:rPr>
      </w:pPr>
      <w:bookmarkStart w:id="9" w:name="_Toc64534435"/>
      <w:r w:rsidRPr="00A47E7E">
        <w:rPr>
          <w:rFonts w:ascii="Calibri" w:hAnsi="Calibri" w:cs="Calibri"/>
          <w:noProof/>
          <w:sz w:val="24"/>
          <w:szCs w:val="24"/>
        </w:rPr>
        <w:t>Ostali prihodi i rashodi</w:t>
      </w:r>
      <w:bookmarkEnd w:id="9"/>
    </w:p>
    <w:p w:rsidR="00EF4125" w:rsidRPr="00A47E7E" w:rsidRDefault="00EF4125" w:rsidP="00EF4125">
      <w:pPr>
        <w:tabs>
          <w:tab w:val="left" w:pos="-1440"/>
          <w:tab w:val="left" w:pos="-720"/>
          <w:tab w:val="left" w:pos="889"/>
          <w:tab w:val="left" w:pos="1231"/>
          <w:tab w:val="right" w:pos="8960"/>
        </w:tabs>
        <w:rPr>
          <w:rFonts w:ascii="Calibri" w:hAnsi="Calibri" w:cs="Calibri"/>
          <w:b/>
          <w:noProof/>
        </w:rPr>
      </w:pPr>
    </w:p>
    <w:p w:rsidR="00EF4125" w:rsidRPr="00A47E7E" w:rsidRDefault="00EF4125" w:rsidP="00EF4125">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Ostali prihodi i rashodi se knjiže po načelu uzročnosti.</w:t>
      </w:r>
    </w:p>
    <w:p w:rsidR="00EF4125" w:rsidRPr="00A47E7E" w:rsidRDefault="00EF4125" w:rsidP="00EF4125">
      <w:pPr>
        <w:pStyle w:val="Header"/>
        <w:suppressAutoHyphens/>
        <w:ind w:left="567"/>
        <w:jc w:val="both"/>
        <w:rPr>
          <w:rFonts w:ascii="Calibri" w:hAnsi="Calibri" w:cs="Calibri"/>
          <w:noProof/>
          <w:sz w:val="24"/>
          <w:szCs w:val="24"/>
          <w:lang w:val="sr-Latn-BA"/>
        </w:rPr>
      </w:pPr>
    </w:p>
    <w:p w:rsidR="00EF4125" w:rsidRPr="00A47E7E" w:rsidRDefault="00EF4125" w:rsidP="00EF4125">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Članom 95. Zakona o investicionim fondovima definisani su troškovi koji se isključivo mogu plaćati iz imovine otvorenog investicionog fonda sa javnom ponudom, a koji su ujedno i predviđeni prospektom Fonda. Navedeni troškovi obuhvataju sljedeće troškove: naknadu i troškove koji se plaćaju Banci depozitaru, troškovi i provizije vezane za sticanje ili prodaju imovine, troškove vođenja registra udjela, uključujući troškove izdavanja potvrda o transakciji</w:t>
      </w:r>
      <w:r w:rsidR="00754AD3">
        <w:rPr>
          <w:rFonts w:ascii="Calibri" w:hAnsi="Calibri" w:cs="Calibri"/>
          <w:noProof/>
          <w:sz w:val="24"/>
          <w:szCs w:val="24"/>
          <w:lang w:val="sr-Latn-BA"/>
        </w:rPr>
        <w:t xml:space="preserve"> udjela</w:t>
      </w:r>
      <w:r w:rsidRPr="00A47E7E">
        <w:rPr>
          <w:rFonts w:ascii="Calibri" w:hAnsi="Calibri" w:cs="Calibri"/>
          <w:noProof/>
          <w:sz w:val="24"/>
          <w:szCs w:val="24"/>
          <w:lang w:val="sr-Latn-BA"/>
        </w:rPr>
        <w:t xml:space="preserve">, ako je to potrebno, te troškove isplate udjela u dobiti, troškove godišnje revizije, </w:t>
      </w:r>
      <w:r w:rsidR="003320F5" w:rsidRPr="00A47E7E">
        <w:rPr>
          <w:rFonts w:ascii="Calibri" w:hAnsi="Calibri" w:cs="Calibri"/>
          <w:noProof/>
          <w:sz w:val="24"/>
          <w:szCs w:val="24"/>
          <w:lang w:val="sr-Latn-BA"/>
        </w:rPr>
        <w:t xml:space="preserve"> sve propisane</w:t>
      </w:r>
      <w:r w:rsidRPr="00A47E7E">
        <w:rPr>
          <w:rFonts w:ascii="Calibri" w:hAnsi="Calibri" w:cs="Calibri"/>
          <w:noProof/>
          <w:sz w:val="24"/>
          <w:szCs w:val="24"/>
          <w:lang w:val="sr-Latn-BA"/>
        </w:rPr>
        <w:t xml:space="preserve"> naknade koje se plaćaju Komisiji u vezi sa izdavanjem odobrenja </w:t>
      </w:r>
      <w:r w:rsidRPr="00A47E7E">
        <w:rPr>
          <w:rFonts w:ascii="Calibri" w:hAnsi="Calibri" w:cs="Calibri"/>
          <w:noProof/>
          <w:sz w:val="24"/>
          <w:szCs w:val="24"/>
          <w:lang w:val="sr-Latn-BA"/>
        </w:rPr>
        <w:lastRenderedPageBreak/>
        <w:t xml:space="preserve">fondu, porezi koje je fond dužan da plati na imovinu ili dobit, troškovi objavljivanja izmjene prospekta i drugih propisanih obavještenja i ostale naknade koje fond plaća u skladu sa Zakonom o investicionim fondovima ili drugim zakonima. </w:t>
      </w:r>
    </w:p>
    <w:p w:rsidR="00EF4125" w:rsidRPr="00A47E7E" w:rsidRDefault="00EF4125" w:rsidP="00EF4125">
      <w:pPr>
        <w:pStyle w:val="Header"/>
        <w:suppressAutoHyphens/>
        <w:ind w:left="567"/>
        <w:jc w:val="both"/>
        <w:rPr>
          <w:rFonts w:ascii="Calibri" w:hAnsi="Calibri" w:cs="Calibri"/>
          <w:noProof/>
          <w:sz w:val="24"/>
          <w:szCs w:val="24"/>
          <w:lang w:val="sr-Latn-BA"/>
        </w:rPr>
      </w:pPr>
    </w:p>
    <w:p w:rsidR="00EF4125" w:rsidRPr="00A47E7E" w:rsidRDefault="00EF4125" w:rsidP="00EF4125">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 xml:space="preserve">Ukupni iznos svih troškova, koji se knjiže na teret otvorenog investicionog fonda sa javnom ponudom, iskazuje se kao pokazatelj ukupnih troškova. Pokazatelj ukupnih troškova fonda ne može biti veći od ponderisane prosječne godišnje neto vrijednosti fonda. Sve nastale troškove, koji u određenoj godini pređu najviši dopušteni pokazatelj ukupnih troškova, snosi Društvo za upravljanje. </w:t>
      </w:r>
      <w:r w:rsidR="00117CEE">
        <w:rPr>
          <w:rFonts w:ascii="Calibri" w:hAnsi="Calibri" w:cs="Calibri"/>
          <w:noProof/>
          <w:sz w:val="24"/>
          <w:szCs w:val="24"/>
          <w:lang w:val="sr-Latn-BA"/>
        </w:rPr>
        <w:t>Pokazatelj troškova na dan 31</w:t>
      </w:r>
      <w:r w:rsidR="003320F5" w:rsidRPr="00A47E7E">
        <w:rPr>
          <w:rFonts w:ascii="Calibri" w:hAnsi="Calibri" w:cs="Calibri"/>
          <w:noProof/>
          <w:sz w:val="24"/>
          <w:szCs w:val="24"/>
          <w:lang w:val="sr-Latn-BA"/>
        </w:rPr>
        <w:t xml:space="preserve">. </w:t>
      </w:r>
      <w:r w:rsidR="00B40C98">
        <w:rPr>
          <w:rFonts w:ascii="Calibri" w:hAnsi="Calibri" w:cs="Calibri"/>
          <w:noProof/>
          <w:sz w:val="24"/>
          <w:szCs w:val="24"/>
          <w:lang w:val="sr-Latn-BA"/>
        </w:rPr>
        <w:t>mart 2021</w:t>
      </w:r>
      <w:r w:rsidR="003320F5" w:rsidRPr="00A47E7E">
        <w:rPr>
          <w:rFonts w:ascii="Calibri" w:hAnsi="Calibri" w:cs="Calibri"/>
          <w:noProof/>
          <w:sz w:val="24"/>
          <w:szCs w:val="24"/>
          <w:lang w:val="sr-Latn-BA"/>
        </w:rPr>
        <w:t xml:space="preserve">. godine iznosi </w:t>
      </w:r>
      <w:r w:rsidR="00F066A6" w:rsidRPr="00F066A6">
        <w:rPr>
          <w:rFonts w:ascii="Calibri" w:hAnsi="Calibri" w:cs="Calibri"/>
          <w:noProof/>
          <w:sz w:val="24"/>
          <w:szCs w:val="24"/>
          <w:lang w:val="sr-Latn-BA"/>
        </w:rPr>
        <w:t>3,</w:t>
      </w:r>
      <w:r w:rsidR="00B40C98">
        <w:rPr>
          <w:rFonts w:ascii="Calibri" w:hAnsi="Calibri" w:cs="Calibri"/>
          <w:noProof/>
          <w:sz w:val="24"/>
          <w:szCs w:val="24"/>
          <w:lang w:val="sr-Latn-BA"/>
        </w:rPr>
        <w:t>47</w:t>
      </w:r>
      <w:r w:rsidR="00773132">
        <w:rPr>
          <w:rFonts w:ascii="Calibri" w:hAnsi="Calibri" w:cs="Calibri"/>
          <w:noProof/>
          <w:sz w:val="24"/>
          <w:szCs w:val="24"/>
          <w:lang w:val="sr-Latn-BA"/>
        </w:rPr>
        <w:t xml:space="preserve"> </w:t>
      </w:r>
      <w:r w:rsidR="003320F5" w:rsidRPr="00A47E7E">
        <w:rPr>
          <w:rFonts w:ascii="Calibri" w:hAnsi="Calibri" w:cs="Calibri"/>
          <w:noProof/>
          <w:sz w:val="24"/>
          <w:szCs w:val="24"/>
          <w:lang w:val="sr-Latn-BA"/>
        </w:rPr>
        <w:t>% prosječne godišnje neto vrijednosti imovine.</w:t>
      </w:r>
    </w:p>
    <w:p w:rsidR="00F35B23" w:rsidRPr="00A47E7E" w:rsidRDefault="00F35B23" w:rsidP="00EF4125">
      <w:pPr>
        <w:pStyle w:val="Header"/>
        <w:suppressAutoHyphens/>
        <w:jc w:val="both"/>
        <w:rPr>
          <w:rFonts w:ascii="Calibri" w:hAnsi="Calibri" w:cs="Calibri"/>
          <w:noProof/>
          <w:sz w:val="24"/>
          <w:szCs w:val="24"/>
          <w:lang w:val="sr-Latn-BA"/>
        </w:rPr>
      </w:pPr>
    </w:p>
    <w:p w:rsidR="00F35B23" w:rsidRPr="00A47E7E" w:rsidRDefault="00F35B23" w:rsidP="00F014B7">
      <w:pPr>
        <w:pStyle w:val="Heading2"/>
        <w:jc w:val="center"/>
        <w:rPr>
          <w:rFonts w:ascii="Calibri" w:hAnsi="Calibri" w:cs="Calibri"/>
          <w:noProof/>
          <w:sz w:val="24"/>
          <w:szCs w:val="24"/>
        </w:rPr>
      </w:pPr>
      <w:bookmarkStart w:id="10" w:name="_Toc64534436"/>
      <w:r w:rsidRPr="00A47E7E">
        <w:rPr>
          <w:rFonts w:ascii="Calibri" w:hAnsi="Calibri" w:cs="Calibri"/>
          <w:noProof/>
          <w:sz w:val="24"/>
          <w:szCs w:val="24"/>
        </w:rPr>
        <w:t>Finansijska imovina</w:t>
      </w:r>
      <w:bookmarkEnd w:id="10"/>
    </w:p>
    <w:p w:rsidR="00F35B23" w:rsidRPr="00A47E7E" w:rsidRDefault="00F35B23" w:rsidP="00EF4125">
      <w:pPr>
        <w:pStyle w:val="Header"/>
        <w:suppressAutoHyphens/>
        <w:jc w:val="both"/>
        <w:rPr>
          <w:rFonts w:ascii="Calibri" w:hAnsi="Calibri" w:cs="Calibri"/>
          <w:noProof/>
          <w:sz w:val="24"/>
          <w:szCs w:val="24"/>
          <w:lang w:val="sr-Latn-BA"/>
        </w:rPr>
      </w:pPr>
    </w:p>
    <w:p w:rsidR="00F35B23"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 xml:space="preserve">Sva finansijska imovina se priznaje, odnosno prestaje se priznavati na datum upisa na vlasnički račun kad je kupoprodaja finansijskog sredstva definisana ugovorenim datumom isporuke finansijskog sredstva u rokovima utvrđenim prema konvencijama na predmetnom tržištu, i inicijalno je mjerena po fer vrijednosti, uključujući transakcione troškove. Finansijska imovina je klasifikovana u sljedeće kategorije: finansijska imovina ''po fer vrijednosti kroz bilans uspjeha'', finansijska </w:t>
      </w:r>
      <w:r w:rsidRPr="00A206D3">
        <w:rPr>
          <w:rFonts w:ascii="Calibri" w:hAnsi="Calibri" w:cs="Calibri"/>
          <w:noProof/>
          <w:sz w:val="24"/>
          <w:szCs w:val="24"/>
          <w:lang w:val="sr-Latn-BA"/>
        </w:rPr>
        <w:t xml:space="preserve">imovina </w:t>
      </w:r>
      <w:r w:rsidR="00A206D3" w:rsidRPr="00A206D3">
        <w:rPr>
          <w:rFonts w:ascii="Calibri" w:hAnsi="Calibri" w:cs="Calibri"/>
          <w:noProof/>
          <w:sz w:val="24"/>
          <w:szCs w:val="24"/>
          <w:lang w:val="sr-Latn-BA"/>
        </w:rPr>
        <w:t>''po fer vrijednosti kroz ostalu sveobuhvatnu dobit</w:t>
      </w:r>
      <w:r w:rsidRPr="00A206D3">
        <w:rPr>
          <w:rFonts w:ascii="Calibri" w:hAnsi="Calibri" w:cs="Calibri"/>
          <w:noProof/>
          <w:sz w:val="24"/>
          <w:szCs w:val="24"/>
          <w:lang w:val="sr-Latn-BA"/>
        </w:rPr>
        <w:t>'', ''u posjedu do dospijeća'', te ''dati krediti i potraživanja''. Klasifikacija</w:t>
      </w:r>
      <w:r w:rsidRPr="00A47E7E">
        <w:rPr>
          <w:rFonts w:ascii="Calibri" w:hAnsi="Calibri" w:cs="Calibri"/>
          <w:noProof/>
          <w:sz w:val="24"/>
          <w:szCs w:val="24"/>
          <w:lang w:val="sr-Latn-BA"/>
        </w:rPr>
        <w:t xml:space="preserve"> zavisi od prirode i svrhe finansijske imovine, i određena je u trenutku inicijalnog priznavanja.</w:t>
      </w:r>
    </w:p>
    <w:p w:rsidR="00F35B23" w:rsidRPr="00A47E7E" w:rsidRDefault="00F35B23" w:rsidP="00F35B23">
      <w:pPr>
        <w:pStyle w:val="Header"/>
        <w:suppressAutoHyphens/>
        <w:jc w:val="both"/>
        <w:rPr>
          <w:rFonts w:ascii="Calibri" w:hAnsi="Calibri" w:cs="Calibri"/>
          <w:noProof/>
          <w:sz w:val="24"/>
          <w:szCs w:val="24"/>
          <w:lang w:val="sr-Latn-BA"/>
        </w:rPr>
      </w:pPr>
    </w:p>
    <w:p w:rsidR="00F35B23" w:rsidRPr="00A47E7E" w:rsidRDefault="00F35B23" w:rsidP="003320F5">
      <w:pPr>
        <w:rPr>
          <w:rFonts w:ascii="Calibri" w:hAnsi="Calibri" w:cs="Calibri"/>
          <w:i/>
          <w:noProof/>
          <w:lang w:val="sr-Latn-BA"/>
        </w:rPr>
      </w:pPr>
      <w:r w:rsidRPr="00A47E7E">
        <w:rPr>
          <w:rFonts w:ascii="Calibri" w:hAnsi="Calibri" w:cs="Calibri"/>
          <w:i/>
          <w:noProof/>
          <w:lang w:val="sr-Latn-BA"/>
        </w:rPr>
        <w:t>Finansijska sredstva po fer vrijednosti kroz bilans uspjeha</w:t>
      </w:r>
    </w:p>
    <w:p w:rsidR="00F35B23" w:rsidRPr="00A47E7E" w:rsidRDefault="00F35B23" w:rsidP="00F35B23">
      <w:pPr>
        <w:pStyle w:val="Header"/>
        <w:suppressAutoHyphens/>
        <w:jc w:val="both"/>
        <w:rPr>
          <w:rFonts w:ascii="Calibri" w:hAnsi="Calibri" w:cs="Calibri"/>
          <w:noProof/>
          <w:sz w:val="24"/>
          <w:szCs w:val="24"/>
          <w:lang w:val="sr-Latn-BA"/>
        </w:rPr>
      </w:pPr>
    </w:p>
    <w:p w:rsidR="00F35B23"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Finansijska sredstva po fer vrijednosti kroz bilans uspjeha se odnose na finansijska sredstva koja zadovoljavaju bilo koji od sljedećih uslova:</w:t>
      </w:r>
    </w:p>
    <w:p w:rsidR="00F35B23" w:rsidRPr="00A47E7E" w:rsidRDefault="00F35B23" w:rsidP="00F35B23">
      <w:pPr>
        <w:pStyle w:val="Header"/>
        <w:suppressAutoHyphens/>
        <w:jc w:val="both"/>
        <w:rPr>
          <w:rFonts w:ascii="Calibri" w:hAnsi="Calibri" w:cs="Calibri"/>
          <w:noProof/>
          <w:sz w:val="24"/>
          <w:szCs w:val="24"/>
          <w:lang w:val="sr-Latn-BA"/>
        </w:rPr>
      </w:pPr>
    </w:p>
    <w:p w:rsidR="00F35B23"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a) klasifikovano je kao ono koje se drži radi trgovanja, ili</w:t>
      </w:r>
    </w:p>
    <w:p w:rsidR="00F35B23"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b)</w:t>
      </w:r>
      <w:r w:rsidRPr="00A47E7E">
        <w:rPr>
          <w:rFonts w:ascii="Calibri" w:hAnsi="Calibri" w:cs="Calibri"/>
          <w:noProof/>
          <w:sz w:val="24"/>
          <w:szCs w:val="24"/>
          <w:lang w:val="sr-Latn-BA"/>
        </w:rPr>
        <w:tab/>
        <w:t xml:space="preserve"> poslije početnog priznanja naznačeno je od strane Fonda po fer vrijednosti kroz bilans uspjeha.</w:t>
      </w:r>
    </w:p>
    <w:p w:rsidR="00F35B23" w:rsidRPr="00A47E7E" w:rsidRDefault="00F35B23" w:rsidP="00F35B23">
      <w:pPr>
        <w:pStyle w:val="Header"/>
        <w:suppressAutoHyphens/>
        <w:jc w:val="both"/>
        <w:rPr>
          <w:rFonts w:ascii="Calibri" w:hAnsi="Calibri" w:cs="Calibri"/>
          <w:noProof/>
          <w:sz w:val="24"/>
          <w:szCs w:val="24"/>
          <w:lang w:val="sr-Latn-BA"/>
        </w:rPr>
      </w:pPr>
    </w:p>
    <w:p w:rsidR="00F35B23"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Dobitak ili gubitak od finansijskog sredstva klasifikovanog po fer vrijednosti kroz bilans uspjeha, koji se javlja kao posljedica promjene fer vrijednosti finansijskog sredstva, priznaje se direktno u kapital, u okviru pozicije "Nerealizovani dobici i gubici po osnovu finansijskih sredstava po fer vrijednosti kroz bilans uspjeha", dok finansijsko sredstvo ne prestane da se priznaje, kada će akumulirani dobitak ili gubitak prethodno priznat u kapitalu biti priznat u dobitak ili gubitak.</w:t>
      </w:r>
    </w:p>
    <w:p w:rsidR="00F35B23" w:rsidRPr="00A47E7E" w:rsidRDefault="00F35B23" w:rsidP="00EF4125">
      <w:pPr>
        <w:pStyle w:val="Header"/>
        <w:suppressAutoHyphens/>
        <w:jc w:val="both"/>
        <w:rPr>
          <w:rFonts w:ascii="Calibri" w:hAnsi="Calibri" w:cs="Calibri"/>
          <w:noProof/>
          <w:sz w:val="24"/>
          <w:szCs w:val="24"/>
          <w:lang w:val="sr-Latn-BA"/>
        </w:rPr>
      </w:pPr>
    </w:p>
    <w:p w:rsidR="00A206D3" w:rsidRPr="00A47E7E" w:rsidRDefault="00A206D3" w:rsidP="00A206D3">
      <w:pPr>
        <w:pStyle w:val="Header"/>
        <w:suppressAutoHyphens/>
        <w:jc w:val="both"/>
        <w:rPr>
          <w:rFonts w:ascii="Calibri" w:hAnsi="Calibri" w:cs="Calibri"/>
          <w:i/>
          <w:noProof/>
          <w:sz w:val="24"/>
          <w:szCs w:val="24"/>
          <w:lang w:val="sr-Latn-BA"/>
        </w:rPr>
      </w:pPr>
      <w:r w:rsidRPr="00321799">
        <w:rPr>
          <w:rFonts w:ascii="Calibri" w:hAnsi="Calibri" w:cs="Calibri"/>
          <w:i/>
          <w:noProof/>
          <w:sz w:val="24"/>
          <w:szCs w:val="24"/>
          <w:lang w:val="sr-Latn-BA"/>
        </w:rPr>
        <w:t>Finansijska sredstva po</w:t>
      </w:r>
      <w:r>
        <w:rPr>
          <w:rFonts w:ascii="Calibri" w:hAnsi="Calibri" w:cs="Calibri"/>
          <w:i/>
          <w:noProof/>
          <w:sz w:val="24"/>
          <w:szCs w:val="24"/>
          <w:lang w:val="sr-Latn-BA"/>
        </w:rPr>
        <w:t xml:space="preserve"> fer vrijednosti kroz ostalu sveobuhvatnu dobit </w:t>
      </w:r>
      <w:r w:rsidRPr="00A47E7E">
        <w:rPr>
          <w:rFonts w:ascii="Calibri" w:hAnsi="Calibri" w:cs="Calibri"/>
          <w:i/>
          <w:noProof/>
          <w:sz w:val="24"/>
          <w:szCs w:val="24"/>
          <w:lang w:val="sr-Latn-BA"/>
        </w:rPr>
        <w:t xml:space="preserve"> </w:t>
      </w:r>
    </w:p>
    <w:p w:rsidR="00A206D3" w:rsidRDefault="00A206D3" w:rsidP="00F35B23">
      <w:pPr>
        <w:pStyle w:val="Header"/>
        <w:suppressAutoHyphens/>
        <w:jc w:val="both"/>
        <w:rPr>
          <w:rFonts w:ascii="Calibri" w:hAnsi="Calibri" w:cs="Calibri"/>
          <w:noProof/>
          <w:sz w:val="24"/>
          <w:szCs w:val="24"/>
          <w:lang w:val="sr-Latn-BA"/>
        </w:rPr>
      </w:pPr>
    </w:p>
    <w:p w:rsidR="00F35B23"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 xml:space="preserve">Finansijska sredstva raspoloživa za prodaju su nederivativna finansijska sredstva koja su naznačena kao raspoloživa za prodaju i nisu klasifikovana kao "dati krediti i potraživanja", </w:t>
      </w:r>
      <w:r w:rsidRPr="00A47E7E">
        <w:rPr>
          <w:rFonts w:ascii="Calibri" w:hAnsi="Calibri" w:cs="Calibri"/>
          <w:noProof/>
          <w:sz w:val="24"/>
          <w:szCs w:val="24"/>
          <w:lang w:val="sr-Latn-BA"/>
        </w:rPr>
        <w:lastRenderedPageBreak/>
        <w:t>finansijska imovina "u posjedu do dospijeća" ili finansijska sredstva naznačena "po fer vrijednosti kroz bilans uspjeha".</w:t>
      </w:r>
    </w:p>
    <w:p w:rsidR="00F35B23" w:rsidRPr="00A47E7E" w:rsidRDefault="00F35B23" w:rsidP="00F35B23">
      <w:pPr>
        <w:pStyle w:val="Header"/>
        <w:suppressAutoHyphens/>
        <w:jc w:val="both"/>
        <w:rPr>
          <w:rFonts w:ascii="Calibri" w:hAnsi="Calibri" w:cs="Calibri"/>
          <w:noProof/>
          <w:sz w:val="24"/>
          <w:szCs w:val="24"/>
          <w:lang w:val="sr-Latn-BA"/>
        </w:rPr>
      </w:pPr>
    </w:p>
    <w:p w:rsidR="00F35B23"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Dobitak ili gubitak od finansijskog sredstva klasifikovanog kao "raspoloživ za prodaju", koji se javlja kao posljedica promjene fer vrijednosti finansijskog sredstva, se priznaje direktno u kapital, u okviru pozicije "Revalorizacione rezerve po osnovu finansijskih sredstava raspoloživih za prodaju", dok finansijsko sredstvo ne prestane da se priznaje, kada će akumulirani dobitak ili gubitak, prethodno priznat u kapitalu, biti priznat u dobitak ili gubitak.</w:t>
      </w:r>
    </w:p>
    <w:p w:rsidR="00F35B23" w:rsidRDefault="00F35B23" w:rsidP="00F35B23">
      <w:pPr>
        <w:pStyle w:val="Header"/>
        <w:suppressAutoHyphens/>
        <w:jc w:val="both"/>
        <w:rPr>
          <w:rFonts w:ascii="Calibri" w:hAnsi="Calibri" w:cs="Calibri"/>
          <w:noProof/>
          <w:sz w:val="24"/>
          <w:szCs w:val="24"/>
          <w:lang w:val="sr-Latn-BA"/>
        </w:rPr>
      </w:pPr>
    </w:p>
    <w:p w:rsidR="00A206D3" w:rsidRPr="006B6386" w:rsidRDefault="00A206D3" w:rsidP="00A206D3">
      <w:pPr>
        <w:pStyle w:val="Header"/>
        <w:suppressAutoHyphens/>
        <w:jc w:val="both"/>
        <w:rPr>
          <w:rFonts w:ascii="Calibri" w:hAnsi="Calibri" w:cs="Calibri"/>
          <w:i/>
          <w:noProof/>
          <w:sz w:val="24"/>
          <w:szCs w:val="24"/>
          <w:lang w:val="sr-Latn-BA"/>
        </w:rPr>
      </w:pPr>
      <w:r w:rsidRPr="006B6386">
        <w:rPr>
          <w:rFonts w:ascii="Calibri" w:hAnsi="Calibri" w:cs="Calibri"/>
          <w:i/>
          <w:noProof/>
          <w:sz w:val="24"/>
          <w:szCs w:val="24"/>
          <w:lang w:val="sr-Latn-BA"/>
        </w:rPr>
        <w:t>Finansijska sredstva koja se odmjeravaju po amortizovanom trošku</w:t>
      </w:r>
    </w:p>
    <w:p w:rsidR="00A206D3" w:rsidRDefault="00A206D3" w:rsidP="00F35B23">
      <w:pPr>
        <w:pStyle w:val="Header"/>
        <w:suppressAutoHyphens/>
        <w:jc w:val="both"/>
        <w:rPr>
          <w:rFonts w:ascii="Calibri" w:hAnsi="Calibri" w:cs="Calibri"/>
          <w:noProof/>
          <w:sz w:val="24"/>
          <w:szCs w:val="24"/>
          <w:lang w:val="sr-Latn-BA"/>
        </w:rPr>
      </w:pPr>
    </w:p>
    <w:p w:rsidR="00A206D3" w:rsidRPr="006B6386" w:rsidRDefault="00A206D3" w:rsidP="00A206D3">
      <w:pPr>
        <w:pStyle w:val="Header"/>
        <w:suppressAutoHyphens/>
        <w:jc w:val="both"/>
        <w:rPr>
          <w:rFonts w:ascii="Calibri" w:hAnsi="Calibri" w:cs="Calibri"/>
          <w:noProof/>
          <w:sz w:val="24"/>
          <w:szCs w:val="24"/>
          <w:lang w:val="sr-Latn-BA"/>
        </w:rPr>
      </w:pPr>
      <w:r w:rsidRPr="006B6386">
        <w:rPr>
          <w:rFonts w:ascii="Calibri" w:hAnsi="Calibri" w:cs="Calibri"/>
          <w:noProof/>
          <w:sz w:val="24"/>
          <w:szCs w:val="24"/>
          <w:lang w:val="sr-Latn-BA"/>
        </w:rPr>
        <w:t>Finansijsku imovinu treba mjeriti po amortizovanom trošku ako su ispunjena oba slijedeća navedena uslova:</w:t>
      </w:r>
    </w:p>
    <w:p w:rsidR="00A206D3" w:rsidRPr="006B6386" w:rsidRDefault="00A206D3" w:rsidP="00A206D3">
      <w:pPr>
        <w:pStyle w:val="Header"/>
        <w:suppressAutoHyphens/>
        <w:jc w:val="both"/>
        <w:rPr>
          <w:rFonts w:ascii="Calibri" w:hAnsi="Calibri" w:cs="Calibri"/>
          <w:noProof/>
          <w:sz w:val="24"/>
          <w:szCs w:val="24"/>
          <w:lang w:val="sr-Latn-BA"/>
        </w:rPr>
      </w:pPr>
      <w:r w:rsidRPr="006B6386">
        <w:rPr>
          <w:rFonts w:ascii="Calibri" w:hAnsi="Calibri" w:cs="Calibri"/>
          <w:noProof/>
          <w:sz w:val="24"/>
          <w:szCs w:val="24"/>
          <w:lang w:val="sr-Latn-BA"/>
        </w:rPr>
        <w:t>(a) finansijska imovinu se drži unutar poslovnog modela čiji je cilj držanje finansijske imovine kako bi se naplatili ugovoreni novčani tokovi i</w:t>
      </w:r>
    </w:p>
    <w:p w:rsidR="00A206D3" w:rsidRPr="006B6386" w:rsidRDefault="00A206D3" w:rsidP="00A206D3">
      <w:pPr>
        <w:pStyle w:val="Header"/>
        <w:suppressAutoHyphens/>
        <w:jc w:val="both"/>
        <w:rPr>
          <w:rFonts w:ascii="Calibri" w:hAnsi="Calibri" w:cs="Calibri"/>
          <w:noProof/>
          <w:sz w:val="24"/>
          <w:szCs w:val="24"/>
          <w:lang w:val="sr-Latn-BA"/>
        </w:rPr>
      </w:pPr>
      <w:r w:rsidRPr="006B6386">
        <w:rPr>
          <w:rFonts w:ascii="Calibri" w:hAnsi="Calibri" w:cs="Calibri"/>
          <w:noProof/>
          <w:sz w:val="24"/>
          <w:szCs w:val="24"/>
          <w:lang w:val="sr-Latn-BA"/>
        </w:rPr>
        <w:t>(b) ugovorenim uslovima finansijske imovine nastaju na određeni datum novčani tokovi koji su samo plaćanja glavnice i kamate na glavnicu.</w:t>
      </w:r>
    </w:p>
    <w:p w:rsidR="00A206D3" w:rsidRDefault="00A206D3" w:rsidP="00F35B23">
      <w:pPr>
        <w:pStyle w:val="Header"/>
        <w:suppressAutoHyphens/>
        <w:jc w:val="both"/>
        <w:rPr>
          <w:rFonts w:ascii="Calibri" w:hAnsi="Calibri" w:cs="Calibri"/>
          <w:noProof/>
          <w:sz w:val="24"/>
          <w:szCs w:val="24"/>
          <w:lang w:val="sr-Latn-BA"/>
        </w:rPr>
      </w:pPr>
    </w:p>
    <w:p w:rsidR="00F35B23" w:rsidRPr="00A47E7E" w:rsidRDefault="00F35B23" w:rsidP="00F35B23">
      <w:pPr>
        <w:pStyle w:val="Header"/>
        <w:suppressAutoHyphens/>
        <w:jc w:val="both"/>
        <w:rPr>
          <w:rFonts w:ascii="Calibri" w:hAnsi="Calibri" w:cs="Calibri"/>
          <w:i/>
          <w:noProof/>
          <w:sz w:val="24"/>
          <w:szCs w:val="24"/>
          <w:lang w:val="sr-Latn-BA"/>
        </w:rPr>
      </w:pPr>
      <w:r w:rsidRPr="00A47E7E">
        <w:rPr>
          <w:rFonts w:ascii="Calibri" w:hAnsi="Calibri" w:cs="Calibri"/>
          <w:i/>
          <w:noProof/>
          <w:sz w:val="24"/>
          <w:szCs w:val="24"/>
          <w:lang w:val="sr-Latn-BA"/>
        </w:rPr>
        <w:t>Dati krediti i potraživanja</w:t>
      </w:r>
    </w:p>
    <w:p w:rsidR="00F35B23" w:rsidRPr="00A47E7E" w:rsidRDefault="00F35B23" w:rsidP="00F35B23">
      <w:pPr>
        <w:pStyle w:val="Header"/>
        <w:suppressAutoHyphens/>
        <w:jc w:val="both"/>
        <w:rPr>
          <w:rFonts w:ascii="Calibri" w:hAnsi="Calibri" w:cs="Calibri"/>
          <w:noProof/>
          <w:sz w:val="24"/>
          <w:szCs w:val="24"/>
          <w:lang w:val="sr-Latn-BA"/>
        </w:rPr>
      </w:pPr>
    </w:p>
    <w:p w:rsidR="00F35B23"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Potraživanja od kupaca, krediti i ostala potraživanja sa fiksnim ili odredivim plaćanjima koja ne kotiraju na aktivnom tržištu klasifikuju se kao krediti i potraživanja. Krediti i potraživanja vrednuju se po amortizovanom trošku, primjenom metode efektivne kamatne stope, umanjeni za procijenjeno umanjenje vrijednosti. Prihod od kamate se priznaje primjenom efektivne kamatne stope, osim u slučaju kratkoročnih potraživanja, gdje bi priznavanje prihoda bilo nematerijalno.</w:t>
      </w:r>
    </w:p>
    <w:p w:rsidR="00F35B23" w:rsidRPr="00A47E7E" w:rsidRDefault="00F35B23" w:rsidP="00F35B23">
      <w:pPr>
        <w:pStyle w:val="Header"/>
        <w:suppressAutoHyphens/>
        <w:jc w:val="both"/>
        <w:rPr>
          <w:rFonts w:ascii="Calibri" w:hAnsi="Calibri" w:cs="Calibri"/>
          <w:noProof/>
          <w:sz w:val="24"/>
          <w:szCs w:val="24"/>
          <w:lang w:val="sr-Latn-BA"/>
        </w:rPr>
      </w:pPr>
    </w:p>
    <w:p w:rsidR="00F35B23" w:rsidRPr="00A47E7E" w:rsidRDefault="00F35B23" w:rsidP="00F35B23">
      <w:pPr>
        <w:pStyle w:val="Header"/>
        <w:suppressAutoHyphens/>
        <w:jc w:val="both"/>
        <w:rPr>
          <w:rFonts w:ascii="Calibri" w:hAnsi="Calibri" w:cs="Calibri"/>
          <w:i/>
          <w:noProof/>
          <w:sz w:val="24"/>
          <w:szCs w:val="24"/>
          <w:lang w:val="sr-Latn-BA"/>
        </w:rPr>
      </w:pPr>
      <w:r w:rsidRPr="00A47E7E">
        <w:rPr>
          <w:rFonts w:ascii="Calibri" w:hAnsi="Calibri" w:cs="Calibri"/>
          <w:i/>
          <w:noProof/>
          <w:sz w:val="24"/>
          <w:szCs w:val="24"/>
          <w:lang w:val="sr-Latn-BA"/>
        </w:rPr>
        <w:t>Umanjenja finansijske imovine</w:t>
      </w:r>
    </w:p>
    <w:p w:rsidR="00F35B23" w:rsidRPr="00A47E7E" w:rsidRDefault="00F35B23" w:rsidP="00F35B23">
      <w:pPr>
        <w:pStyle w:val="Header"/>
        <w:suppressAutoHyphens/>
        <w:jc w:val="both"/>
        <w:rPr>
          <w:rFonts w:ascii="Calibri" w:hAnsi="Calibri" w:cs="Calibri"/>
          <w:noProof/>
          <w:sz w:val="24"/>
          <w:szCs w:val="24"/>
          <w:lang w:val="sr-Latn-BA"/>
        </w:rPr>
      </w:pPr>
    </w:p>
    <w:p w:rsidR="00F35B23"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 xml:space="preserve">Finansijska imovina, osim imovine iskazane po fer vrijednosti kroz bilans uspjeha, procijenjena je za indikatore umanjenja na svaki datum bilansa stanja. Finansijska imovina je umanjena tamo gdje je dokazano da, kao rezultat jednog ili više događaja koji su se desili nakon početnog priznavanja finansijske imovine, procijenjeni budući novčani tokovi investicije su izmijenjeni. </w:t>
      </w:r>
    </w:p>
    <w:p w:rsidR="00F35B23" w:rsidRPr="00A47E7E" w:rsidRDefault="00F35B23" w:rsidP="00F35B23">
      <w:pPr>
        <w:pStyle w:val="Header"/>
        <w:suppressAutoHyphens/>
        <w:jc w:val="both"/>
        <w:rPr>
          <w:rFonts w:ascii="Calibri" w:hAnsi="Calibri" w:cs="Calibri"/>
          <w:noProof/>
          <w:sz w:val="24"/>
          <w:szCs w:val="24"/>
          <w:lang w:val="sr-Latn-BA"/>
        </w:rPr>
      </w:pPr>
    </w:p>
    <w:p w:rsidR="00F35B23"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 xml:space="preserve">Za akcije koje ne kotiraju na berzi, a klasifikovane su kao raspoložive za prodaju, značajan ili produžen pad u fer vrijednosti vrijednosnog papira ispod njegovog troška smatra se objektivnim dokazom umanjenja. </w:t>
      </w:r>
    </w:p>
    <w:p w:rsidR="00F35B23" w:rsidRPr="00A47E7E" w:rsidRDefault="00F35B23" w:rsidP="00F35B23">
      <w:pPr>
        <w:pStyle w:val="Header"/>
        <w:suppressAutoHyphens/>
        <w:jc w:val="both"/>
        <w:rPr>
          <w:rFonts w:ascii="Calibri" w:hAnsi="Calibri" w:cs="Calibri"/>
          <w:noProof/>
          <w:sz w:val="24"/>
          <w:szCs w:val="24"/>
          <w:lang w:val="sr-Latn-BA"/>
        </w:rPr>
      </w:pPr>
    </w:p>
    <w:p w:rsidR="00F35B23"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Za svu ostalu finansijsku imovinu, uključujući otkupive hartije od vrijednosti klasifikovane kao raspoložive za prodaju, i potraživanja po finansijskom zajmu, objektivan dokaz umanjenja može uključiti:</w:t>
      </w:r>
    </w:p>
    <w:p w:rsidR="00F35B23" w:rsidRPr="00A47E7E" w:rsidRDefault="00F35B23" w:rsidP="00F35B23">
      <w:pPr>
        <w:pStyle w:val="Header"/>
        <w:suppressAutoHyphens/>
        <w:jc w:val="both"/>
        <w:rPr>
          <w:rFonts w:ascii="Calibri" w:hAnsi="Calibri" w:cs="Calibri"/>
          <w:noProof/>
          <w:sz w:val="24"/>
          <w:szCs w:val="24"/>
          <w:lang w:val="sr-Latn-BA"/>
        </w:rPr>
      </w:pPr>
    </w:p>
    <w:p w:rsidR="00F35B23" w:rsidRPr="00A47E7E" w:rsidRDefault="00F35B23" w:rsidP="003320F5">
      <w:pPr>
        <w:numPr>
          <w:ilvl w:val="0"/>
          <w:numId w:val="38"/>
        </w:numPr>
        <w:rPr>
          <w:rFonts w:ascii="Calibri" w:hAnsi="Calibri" w:cs="Calibri"/>
          <w:noProof/>
          <w:lang w:val="sr-Latn-BA"/>
        </w:rPr>
      </w:pPr>
      <w:r w:rsidRPr="00A47E7E">
        <w:rPr>
          <w:rFonts w:ascii="Calibri" w:hAnsi="Calibri" w:cs="Calibri"/>
          <w:noProof/>
          <w:lang w:val="sr-Latn-BA"/>
        </w:rPr>
        <w:lastRenderedPageBreak/>
        <w:t>značajne finansijske teškoće izdavaoca ili korisnika; ili</w:t>
      </w:r>
    </w:p>
    <w:p w:rsidR="00F35B23" w:rsidRPr="00A47E7E" w:rsidRDefault="00F35B23" w:rsidP="003320F5">
      <w:pPr>
        <w:numPr>
          <w:ilvl w:val="0"/>
          <w:numId w:val="38"/>
        </w:numPr>
        <w:rPr>
          <w:rFonts w:ascii="Calibri" w:hAnsi="Calibri" w:cs="Calibri"/>
          <w:noProof/>
          <w:lang w:val="sr-Latn-BA"/>
        </w:rPr>
      </w:pPr>
      <w:r w:rsidRPr="00A47E7E">
        <w:rPr>
          <w:rFonts w:ascii="Calibri" w:hAnsi="Calibri" w:cs="Calibri"/>
          <w:noProof/>
          <w:lang w:val="sr-Latn-BA"/>
        </w:rPr>
        <w:t>propust ili delikvencija u otplati kamate ili glavnice; ili</w:t>
      </w:r>
    </w:p>
    <w:p w:rsidR="00F35B23" w:rsidRPr="00A47E7E" w:rsidRDefault="00F35B23" w:rsidP="003320F5">
      <w:pPr>
        <w:numPr>
          <w:ilvl w:val="0"/>
          <w:numId w:val="38"/>
        </w:numPr>
        <w:rPr>
          <w:rFonts w:ascii="Calibri" w:hAnsi="Calibri" w:cs="Calibri"/>
          <w:noProof/>
          <w:lang w:val="sr-Latn-BA"/>
        </w:rPr>
      </w:pPr>
      <w:r w:rsidRPr="00A47E7E">
        <w:rPr>
          <w:rFonts w:ascii="Calibri" w:hAnsi="Calibri" w:cs="Calibri"/>
          <w:noProof/>
          <w:lang w:val="sr-Latn-BA"/>
        </w:rPr>
        <w:t>mogućnost da će dužnik doći u stečaj ili finansijsku reorganizaciju.</w:t>
      </w:r>
    </w:p>
    <w:p w:rsidR="00F35B23" w:rsidRPr="00A47E7E" w:rsidRDefault="00F35B23" w:rsidP="00F35B23">
      <w:pPr>
        <w:pStyle w:val="Header"/>
        <w:suppressAutoHyphens/>
        <w:jc w:val="both"/>
        <w:rPr>
          <w:rFonts w:ascii="Calibri" w:hAnsi="Calibri" w:cs="Calibri"/>
          <w:noProof/>
          <w:sz w:val="24"/>
          <w:szCs w:val="24"/>
          <w:lang w:val="sr-Latn-BA"/>
        </w:rPr>
      </w:pPr>
    </w:p>
    <w:p w:rsidR="00F35B23"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Za određene kategorije finansijske imovine, kao što su potraživanja od kupaca, sredstva za koja je procijenjeno da nisu umanjena, pojedinačno se naknadno procjenjuju za umanjenje na kolektivnoj osnovi. Objektivan dokaz umanjenja portfolia potraživanja mogao bi uključiti prethodno iskustvo Fonda u naplati, kašnjenje u naplati nakon perioda dospijeća, kao i promjene u nacionalnim ili lokalnim ekonomskim uslovima koji su u uzajamnoj vezi sa neizvršenjem potraživanja.</w:t>
      </w:r>
    </w:p>
    <w:p w:rsidR="00F35B23" w:rsidRPr="00A47E7E" w:rsidRDefault="00F35B23" w:rsidP="00F35B23">
      <w:pPr>
        <w:pStyle w:val="Header"/>
        <w:suppressAutoHyphens/>
        <w:jc w:val="both"/>
        <w:rPr>
          <w:rFonts w:ascii="Calibri" w:hAnsi="Calibri" w:cs="Calibri"/>
          <w:noProof/>
          <w:sz w:val="24"/>
          <w:szCs w:val="24"/>
          <w:lang w:val="sr-Latn-BA"/>
        </w:rPr>
      </w:pPr>
    </w:p>
    <w:p w:rsidR="00F35B23"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Za finansijsku imovinu iskazanu po amortizovanom trošku, iznos umanjenja je razlika između knjigovodstvene vrijednosti imovine i sadašnje vrijednosti procijenjenih budućih novčanih tokova, diskontovanih koristeći originalnu efektivnu kamatnu stopu finansijskog sredstva.</w:t>
      </w:r>
    </w:p>
    <w:p w:rsidR="00F35B23" w:rsidRPr="00A47E7E" w:rsidRDefault="00F35B23" w:rsidP="00F35B23">
      <w:pPr>
        <w:pStyle w:val="Header"/>
        <w:suppressAutoHyphens/>
        <w:jc w:val="both"/>
        <w:rPr>
          <w:rFonts w:ascii="Calibri" w:hAnsi="Calibri" w:cs="Calibri"/>
          <w:noProof/>
          <w:sz w:val="24"/>
          <w:szCs w:val="24"/>
          <w:lang w:val="sr-Latn-BA"/>
        </w:rPr>
      </w:pPr>
    </w:p>
    <w:p w:rsidR="00F35B23" w:rsidRPr="00A47E7E" w:rsidRDefault="00F35B23" w:rsidP="00F35B23">
      <w:pPr>
        <w:pStyle w:val="Header"/>
        <w:suppressAutoHyphens/>
        <w:jc w:val="both"/>
        <w:rPr>
          <w:rFonts w:ascii="Calibri" w:hAnsi="Calibri" w:cs="Calibri"/>
          <w:i/>
          <w:noProof/>
          <w:sz w:val="24"/>
          <w:szCs w:val="24"/>
          <w:lang w:val="sr-Latn-BA"/>
        </w:rPr>
      </w:pPr>
      <w:r w:rsidRPr="00A47E7E">
        <w:rPr>
          <w:rFonts w:ascii="Calibri" w:hAnsi="Calibri" w:cs="Calibri"/>
          <w:i/>
          <w:noProof/>
          <w:sz w:val="24"/>
          <w:szCs w:val="24"/>
          <w:lang w:val="sr-Latn-BA"/>
        </w:rPr>
        <w:t>Vrednovanje ulaganja u hartije od vrijednosti – početno priznavanje</w:t>
      </w:r>
    </w:p>
    <w:p w:rsidR="00F35B23" w:rsidRPr="00A47E7E" w:rsidRDefault="00F35B23" w:rsidP="00F35B23">
      <w:pPr>
        <w:pStyle w:val="Header"/>
        <w:suppressAutoHyphens/>
        <w:jc w:val="both"/>
        <w:rPr>
          <w:rFonts w:ascii="Calibri" w:hAnsi="Calibri" w:cs="Calibri"/>
          <w:noProof/>
          <w:sz w:val="24"/>
          <w:szCs w:val="24"/>
          <w:lang w:val="sr-Latn-BA"/>
        </w:rPr>
      </w:pPr>
    </w:p>
    <w:p w:rsidR="00F35B23"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 xml:space="preserve">Ulaganja Fonda se sastoje od ulaganja u akcije, ulaganja u </w:t>
      </w:r>
      <w:r w:rsidR="000F7C72">
        <w:rPr>
          <w:rFonts w:ascii="Calibri" w:hAnsi="Calibri" w:cs="Calibri"/>
          <w:noProof/>
          <w:sz w:val="24"/>
          <w:szCs w:val="24"/>
          <w:lang w:val="sr-Latn-BA"/>
        </w:rPr>
        <w:t xml:space="preserve">obveznice. </w:t>
      </w:r>
      <w:r w:rsidRPr="00A47E7E">
        <w:rPr>
          <w:rFonts w:ascii="Calibri" w:hAnsi="Calibri" w:cs="Calibri"/>
          <w:noProof/>
          <w:sz w:val="24"/>
          <w:szCs w:val="24"/>
          <w:lang w:val="sr-Latn-BA"/>
        </w:rPr>
        <w:t xml:space="preserve">U skladu sa Pravilnikom o utvrđivanju vrijednosti imovine investicionog fonda i obračunu neto vrijednosti imovine po udjelu ili po akciji investicionog fonda (''Službeni glasnik RS'', broj 108/15, ''Pravilnik''), imovina i obaveze investicionog fonda početno se priznaju po fer vrijednosti transakcije, odnosno po trošku sticanja koji u cijenu pojedinačne imovine uključuje i transakcione troškove koji su direktno povezani sa sticanjem imovine ili nastanka obaveze. Izuzetak od ove imovine i obaveza je imovina koja se vrednuje po fer vrijednosti kroz bilans uspjeha.  </w:t>
      </w:r>
    </w:p>
    <w:p w:rsidR="00F35B23" w:rsidRPr="00A47E7E" w:rsidRDefault="00F35B23" w:rsidP="00F35B23">
      <w:pPr>
        <w:pStyle w:val="Header"/>
        <w:suppressAutoHyphens/>
        <w:jc w:val="both"/>
        <w:rPr>
          <w:rFonts w:ascii="Calibri" w:hAnsi="Calibri" w:cs="Calibri"/>
          <w:i/>
          <w:noProof/>
          <w:sz w:val="24"/>
          <w:szCs w:val="24"/>
          <w:lang w:val="sr-Latn-BA"/>
        </w:rPr>
      </w:pPr>
    </w:p>
    <w:p w:rsidR="00F35B23" w:rsidRPr="00A47E7E" w:rsidRDefault="00F35B23" w:rsidP="00F35B23">
      <w:pPr>
        <w:pStyle w:val="Header"/>
        <w:suppressAutoHyphens/>
        <w:jc w:val="both"/>
        <w:rPr>
          <w:rFonts w:ascii="Calibri" w:hAnsi="Calibri" w:cs="Calibri"/>
          <w:i/>
          <w:noProof/>
          <w:sz w:val="24"/>
          <w:szCs w:val="24"/>
          <w:lang w:val="sr-Latn-BA"/>
        </w:rPr>
      </w:pPr>
      <w:r w:rsidRPr="00A47E7E">
        <w:rPr>
          <w:rFonts w:ascii="Calibri" w:hAnsi="Calibri" w:cs="Calibri"/>
          <w:i/>
          <w:noProof/>
          <w:sz w:val="24"/>
          <w:szCs w:val="24"/>
          <w:lang w:val="sr-Latn-BA"/>
        </w:rPr>
        <w:t xml:space="preserve">Vrednovanje ulaganja u hartije od vrijednosti – naknadno vrednovanje </w:t>
      </w:r>
    </w:p>
    <w:p w:rsidR="00F35B23" w:rsidRPr="00A47E7E" w:rsidRDefault="00F35B23" w:rsidP="00F35B23">
      <w:pPr>
        <w:pStyle w:val="Header"/>
        <w:suppressAutoHyphens/>
        <w:jc w:val="both"/>
        <w:rPr>
          <w:rFonts w:ascii="Calibri" w:hAnsi="Calibri" w:cs="Calibri"/>
          <w:noProof/>
          <w:sz w:val="24"/>
          <w:szCs w:val="24"/>
          <w:lang w:val="sr-Latn-BA"/>
        </w:rPr>
      </w:pPr>
    </w:p>
    <w:p w:rsidR="00F35B23"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 xml:space="preserve">Naknadno vrednovanje imovine i obaveza fonda vrši se u zavisnosti od vrste imovine i provedenoj klasifikaciji, a u skladu sa politikom ulaganja društva koja je definisana prospektom i statutom fonda. </w:t>
      </w:r>
    </w:p>
    <w:p w:rsidR="002A6882" w:rsidRPr="00A47E7E" w:rsidRDefault="002A6882" w:rsidP="00F35B23">
      <w:pPr>
        <w:pStyle w:val="Header"/>
        <w:suppressAutoHyphens/>
        <w:jc w:val="both"/>
        <w:rPr>
          <w:rFonts w:ascii="Calibri" w:hAnsi="Calibri" w:cs="Calibri"/>
          <w:noProof/>
          <w:sz w:val="24"/>
          <w:szCs w:val="24"/>
          <w:lang w:val="sr-Latn-BA"/>
        </w:rPr>
      </w:pPr>
    </w:p>
    <w:p w:rsidR="0078483D" w:rsidRDefault="0078483D" w:rsidP="0078483D">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Fer vrijednost vlasničkih hartija od vrijednosti kojima se trguje u Republici Srpskoj i u Federaciji Bosne i Hercegovine  obračunava se primjenom prosječne ponderisane cijene ost</w:t>
      </w:r>
      <w:r>
        <w:rPr>
          <w:rFonts w:ascii="Calibri" w:hAnsi="Calibri" w:cs="Calibri"/>
          <w:noProof/>
          <w:sz w:val="24"/>
          <w:szCs w:val="24"/>
          <w:lang w:val="sr-Latn-BA"/>
        </w:rPr>
        <w:t>varene za transakcije na berzi u posljednjih 10 dana od kada je bilo trgovanja određenom vlasičkom</w:t>
      </w:r>
      <w:r w:rsidRPr="00660C00">
        <w:rPr>
          <w:rFonts w:ascii="Calibri" w:hAnsi="Calibri" w:cs="Calibri"/>
          <w:noProof/>
          <w:sz w:val="24"/>
          <w:szCs w:val="24"/>
          <w:lang w:val="sr-Latn-BA"/>
        </w:rPr>
        <w:t xml:space="preserve"> </w:t>
      </w:r>
      <w:r>
        <w:rPr>
          <w:rFonts w:ascii="Calibri" w:hAnsi="Calibri" w:cs="Calibri"/>
          <w:noProof/>
          <w:sz w:val="24"/>
          <w:szCs w:val="24"/>
          <w:lang w:val="sr-Latn-BA"/>
        </w:rPr>
        <w:t>hov u posljednjoj godini dana</w:t>
      </w:r>
      <w:r w:rsidRPr="00A47E7E">
        <w:rPr>
          <w:rFonts w:ascii="Calibri" w:hAnsi="Calibri" w:cs="Calibri"/>
          <w:noProof/>
          <w:sz w:val="24"/>
          <w:szCs w:val="24"/>
          <w:lang w:val="sr-Latn-BA"/>
        </w:rPr>
        <w:t xml:space="preserve">, a </w:t>
      </w:r>
      <w:r>
        <w:rPr>
          <w:rFonts w:ascii="Calibri" w:hAnsi="Calibri" w:cs="Calibri"/>
          <w:noProof/>
          <w:sz w:val="24"/>
          <w:szCs w:val="24"/>
          <w:lang w:val="sr-Latn-BA"/>
        </w:rPr>
        <w:t>zaokružuje se na četiri decimalna mjesta</w:t>
      </w:r>
      <w:r w:rsidRPr="00A47E7E">
        <w:rPr>
          <w:rFonts w:ascii="Calibri" w:hAnsi="Calibri" w:cs="Calibri"/>
          <w:noProof/>
          <w:sz w:val="24"/>
          <w:szCs w:val="24"/>
          <w:lang w:val="sr-Latn-BA"/>
        </w:rPr>
        <w:t xml:space="preserve">. U slučaju </w:t>
      </w:r>
      <w:r>
        <w:rPr>
          <w:rFonts w:ascii="Calibri" w:hAnsi="Calibri" w:cs="Calibri"/>
          <w:noProof/>
          <w:sz w:val="24"/>
          <w:szCs w:val="24"/>
          <w:lang w:val="sr-Latn-BA"/>
        </w:rPr>
        <w:t>da nije bilo 10 dana trgovanja u posljednjih godinu dana ver vrijednost se utvrđuje u iznosu koji je manji od sljedeće dvije vrijednosti:</w:t>
      </w:r>
    </w:p>
    <w:p w:rsidR="0078483D" w:rsidRDefault="0078483D" w:rsidP="0078483D">
      <w:pPr>
        <w:pStyle w:val="Header"/>
        <w:numPr>
          <w:ilvl w:val="0"/>
          <w:numId w:val="42"/>
        </w:numPr>
        <w:suppressAutoHyphens/>
        <w:jc w:val="both"/>
        <w:rPr>
          <w:rFonts w:ascii="Calibri" w:hAnsi="Calibri" w:cs="Calibri"/>
          <w:noProof/>
          <w:sz w:val="24"/>
          <w:szCs w:val="24"/>
          <w:lang w:val="sr-Latn-BA"/>
        </w:rPr>
      </w:pPr>
      <w:r>
        <w:rPr>
          <w:rFonts w:ascii="Calibri" w:hAnsi="Calibri" w:cs="Calibri"/>
          <w:noProof/>
          <w:sz w:val="24"/>
          <w:szCs w:val="24"/>
          <w:lang w:val="sr-Latn-BA"/>
        </w:rPr>
        <w:t>procijenjenoj vrijednosti utvrđene  u skaldu sa „Pravilnikom“</w:t>
      </w:r>
    </w:p>
    <w:p w:rsidR="0078483D" w:rsidRDefault="0078483D" w:rsidP="0078483D">
      <w:pPr>
        <w:pStyle w:val="Header"/>
        <w:numPr>
          <w:ilvl w:val="0"/>
          <w:numId w:val="42"/>
        </w:numPr>
        <w:suppressAutoHyphens/>
        <w:jc w:val="both"/>
        <w:rPr>
          <w:rFonts w:ascii="Calibri" w:hAnsi="Calibri" w:cs="Calibri"/>
          <w:noProof/>
          <w:sz w:val="24"/>
          <w:szCs w:val="24"/>
          <w:lang w:val="sr-Latn-BA"/>
        </w:rPr>
      </w:pPr>
      <w:r>
        <w:rPr>
          <w:rFonts w:ascii="Calibri" w:hAnsi="Calibri" w:cs="Calibri"/>
          <w:noProof/>
          <w:sz w:val="24"/>
          <w:szCs w:val="24"/>
          <w:lang w:val="sr-Latn-BA"/>
        </w:rPr>
        <w:t xml:space="preserve">prosječne ponderisane cijene za ostvarene transakcije na dan kada je posljednji put bilo trgovanja tom hov na berzi   </w:t>
      </w:r>
    </w:p>
    <w:p w:rsidR="0078483D" w:rsidRDefault="0078483D" w:rsidP="0078483D">
      <w:pPr>
        <w:pStyle w:val="Header"/>
        <w:suppressAutoHyphens/>
        <w:jc w:val="both"/>
        <w:rPr>
          <w:rFonts w:ascii="Calibri" w:hAnsi="Calibri" w:cs="Calibri"/>
          <w:noProof/>
          <w:sz w:val="24"/>
          <w:szCs w:val="24"/>
          <w:lang w:val="sr-Latn-BA"/>
        </w:rPr>
      </w:pPr>
    </w:p>
    <w:p w:rsidR="0078483D" w:rsidRDefault="0078483D" w:rsidP="0078483D">
      <w:pPr>
        <w:pStyle w:val="Header"/>
        <w:suppressAutoHyphens/>
        <w:jc w:val="both"/>
        <w:rPr>
          <w:rFonts w:ascii="Calibri" w:hAnsi="Calibri" w:cs="Calibri"/>
          <w:noProof/>
          <w:sz w:val="24"/>
          <w:szCs w:val="24"/>
          <w:lang w:val="sr-Latn-BA"/>
        </w:rPr>
      </w:pPr>
      <w:r w:rsidRPr="0077290F">
        <w:rPr>
          <w:rFonts w:ascii="Calibri" w:hAnsi="Calibri" w:cs="Calibri"/>
          <w:noProof/>
          <w:sz w:val="24"/>
          <w:szCs w:val="24"/>
          <w:lang w:val="sr-Latn-BA"/>
        </w:rPr>
        <w:lastRenderedPageBreak/>
        <w:t>Fer vrijednost vlasničkih hartija od vrijednosti kojima se trguje u inostranstvu na uređenim tržištima u državi članici EU, OECD i CEFTA fer vrijednost se izračunava na osnovu</w:t>
      </w:r>
      <w:r>
        <w:rPr>
          <w:rFonts w:ascii="Calibri" w:hAnsi="Calibri" w:cs="Calibri"/>
          <w:noProof/>
          <w:sz w:val="24"/>
          <w:szCs w:val="24"/>
          <w:lang w:val="sr-Latn-BA"/>
        </w:rPr>
        <w:t xml:space="preserve"> posljednje cijene ostvarene tog dana na matičnoj berzi emitenta ili berzi koja je definisana kao primarni izvor cijene odnosne hartije od vrijednosti koja je uvrštena na berzansko tržište. </w:t>
      </w:r>
    </w:p>
    <w:p w:rsidR="002A6882" w:rsidRDefault="002A6882" w:rsidP="0078483D">
      <w:pPr>
        <w:pStyle w:val="Header"/>
        <w:suppressAutoHyphens/>
        <w:jc w:val="both"/>
        <w:rPr>
          <w:rFonts w:ascii="Calibri" w:hAnsi="Calibri" w:cs="Calibri"/>
          <w:noProof/>
          <w:sz w:val="24"/>
          <w:szCs w:val="24"/>
          <w:lang w:val="sr-Latn-BA"/>
        </w:rPr>
      </w:pPr>
    </w:p>
    <w:p w:rsidR="002A6882" w:rsidRDefault="002A6882" w:rsidP="002A6882">
      <w:pPr>
        <w:pStyle w:val="Header"/>
        <w:suppressAutoHyphens/>
        <w:jc w:val="both"/>
        <w:rPr>
          <w:rFonts w:ascii="Calibri" w:hAnsi="Calibri" w:cs="Calibri"/>
          <w:noProof/>
          <w:sz w:val="24"/>
          <w:szCs w:val="24"/>
          <w:lang w:val="sr-Latn-BA"/>
        </w:rPr>
      </w:pPr>
      <w:r w:rsidRPr="0077290F">
        <w:rPr>
          <w:rFonts w:ascii="Calibri" w:hAnsi="Calibri" w:cs="Calibri"/>
          <w:noProof/>
          <w:sz w:val="24"/>
          <w:szCs w:val="24"/>
          <w:lang w:val="sr-Latn-BA"/>
        </w:rPr>
        <w:t>U slučaju trgovanja na uređenim tržištima izvan tržišta država članica EU, OECD i CEFTA fer vrijednost</w:t>
      </w:r>
      <w:r>
        <w:rPr>
          <w:rFonts w:ascii="Calibri" w:hAnsi="Calibri" w:cs="Calibri"/>
          <w:noProof/>
          <w:sz w:val="24"/>
          <w:szCs w:val="24"/>
          <w:lang w:val="sr-Latn-BA"/>
        </w:rPr>
        <w:t xml:space="preserve"> vlasničkih hartija</w:t>
      </w:r>
      <w:r w:rsidRPr="0077290F">
        <w:rPr>
          <w:rFonts w:ascii="Calibri" w:hAnsi="Calibri" w:cs="Calibri"/>
          <w:noProof/>
          <w:sz w:val="24"/>
          <w:szCs w:val="24"/>
          <w:lang w:val="sr-Latn-BA"/>
        </w:rPr>
        <w:t xml:space="preserve"> se izračunava na osnovu ponderisane prosječne cijene te hartije na berzanskom tržištu ostvarenih na dan vrednovanja. U slučaju nepostojanja navedenih cijena na dan vrednovanja, fer vrijednost vlasničkih hartija obračunava se na osnovu posljednje cijene iz trgovanja u periodu od 90 dana od dana vrednovanja. </w:t>
      </w:r>
      <w:r>
        <w:rPr>
          <w:rFonts w:ascii="Calibri" w:hAnsi="Calibri" w:cs="Calibri"/>
          <w:noProof/>
          <w:sz w:val="24"/>
          <w:szCs w:val="24"/>
          <w:lang w:val="sr-Latn-BA"/>
        </w:rPr>
        <w:t xml:space="preserve">U slučaju nepostojanja navedenih tržišnih cijena njihova fer vrijednost se utvrđuje u iznosu koji je manji od sljedeće dvije vrijednosti: </w:t>
      </w:r>
    </w:p>
    <w:p w:rsidR="002A6882" w:rsidRDefault="002A6882" w:rsidP="002A6882">
      <w:pPr>
        <w:pStyle w:val="Header"/>
        <w:suppressAutoHyphens/>
        <w:ind w:left="720"/>
        <w:jc w:val="both"/>
        <w:rPr>
          <w:rFonts w:ascii="Calibri" w:hAnsi="Calibri" w:cs="Calibri"/>
          <w:noProof/>
          <w:sz w:val="24"/>
          <w:szCs w:val="24"/>
          <w:lang w:val="sr-Latn-BA"/>
        </w:rPr>
      </w:pPr>
      <w:r>
        <w:rPr>
          <w:rFonts w:ascii="Calibri" w:hAnsi="Calibri" w:cs="Calibri"/>
          <w:noProof/>
          <w:sz w:val="24"/>
          <w:szCs w:val="24"/>
          <w:lang w:val="sr-Latn-BA"/>
        </w:rPr>
        <w:t>* procjenjenoj vrijednosti utvrđene procjenom u skladu sa „Pravilnikom“ ,</w:t>
      </w:r>
    </w:p>
    <w:p w:rsidR="002A6882" w:rsidRDefault="002A6882" w:rsidP="002A6882">
      <w:pPr>
        <w:pStyle w:val="Header"/>
        <w:suppressAutoHyphens/>
        <w:ind w:left="720"/>
        <w:jc w:val="both"/>
        <w:rPr>
          <w:rFonts w:ascii="Calibri" w:hAnsi="Calibri" w:cs="Calibri"/>
          <w:noProof/>
          <w:sz w:val="24"/>
          <w:szCs w:val="24"/>
          <w:lang w:val="sr-Latn-BA"/>
        </w:rPr>
      </w:pPr>
      <w:r>
        <w:rPr>
          <w:rFonts w:ascii="Calibri" w:hAnsi="Calibri" w:cs="Calibri"/>
          <w:noProof/>
          <w:sz w:val="24"/>
          <w:szCs w:val="24"/>
          <w:lang w:val="sr-Latn-BA"/>
        </w:rPr>
        <w:t xml:space="preserve">* cijene na zatvaranju na dan kada je posljednji put bilo trgovanja na tržištu tom vlasničkom hartijom  od vrijednosti. </w:t>
      </w:r>
    </w:p>
    <w:p w:rsidR="002A6882" w:rsidRPr="000A6E6E" w:rsidRDefault="002A6882" w:rsidP="002A6882">
      <w:pPr>
        <w:pStyle w:val="Header"/>
        <w:suppressAutoHyphens/>
        <w:jc w:val="both"/>
        <w:rPr>
          <w:rFonts w:ascii="Calibri" w:hAnsi="Calibri" w:cs="Calibri"/>
          <w:noProof/>
          <w:sz w:val="24"/>
          <w:szCs w:val="24"/>
          <w:lang w:val="sr-Latn-BA"/>
        </w:rPr>
      </w:pPr>
    </w:p>
    <w:p w:rsidR="002A6882" w:rsidRDefault="002A6882" w:rsidP="002A6882">
      <w:pPr>
        <w:pStyle w:val="Header"/>
        <w:suppressAutoHyphens/>
        <w:jc w:val="both"/>
        <w:rPr>
          <w:rFonts w:ascii="Calibri" w:hAnsi="Calibri" w:cs="Calibri"/>
          <w:noProof/>
          <w:sz w:val="24"/>
          <w:szCs w:val="24"/>
          <w:lang w:val="sr-Latn-BA"/>
        </w:rPr>
      </w:pPr>
      <w:r w:rsidRPr="000A6E6E">
        <w:rPr>
          <w:rFonts w:ascii="Calibri" w:hAnsi="Calibri" w:cs="Calibri"/>
          <w:noProof/>
          <w:sz w:val="24"/>
          <w:szCs w:val="24"/>
          <w:lang w:val="sr-Latn-BA"/>
        </w:rPr>
        <w:t>Fer vrijednost dužničkih hartija od vrijednosti kojima se trguje u Republici Srpskoj i u Federaciji Bosne i Hercegovine  obračunava se primjenom prosječne</w:t>
      </w:r>
      <w:r>
        <w:rPr>
          <w:rFonts w:ascii="Calibri" w:hAnsi="Calibri" w:cs="Calibri"/>
          <w:noProof/>
          <w:sz w:val="24"/>
          <w:szCs w:val="24"/>
          <w:lang w:val="sr-Latn-BA"/>
        </w:rPr>
        <w:t xml:space="preserve"> </w:t>
      </w:r>
      <w:r w:rsidRPr="000A6E6E">
        <w:rPr>
          <w:rFonts w:ascii="Calibri" w:hAnsi="Calibri" w:cs="Calibri"/>
          <w:noProof/>
          <w:sz w:val="24"/>
          <w:szCs w:val="24"/>
          <w:lang w:val="sr-Latn-BA"/>
        </w:rPr>
        <w:t>ponderisane cijene trgovanja</w:t>
      </w:r>
      <w:r>
        <w:rPr>
          <w:rFonts w:ascii="Calibri" w:hAnsi="Calibri" w:cs="Calibri"/>
          <w:noProof/>
          <w:sz w:val="24"/>
          <w:szCs w:val="24"/>
          <w:lang w:val="sr-Latn-BA"/>
        </w:rPr>
        <w:t xml:space="preserve"> na dan vrednovanja</w:t>
      </w:r>
      <w:r w:rsidRPr="000A6E6E">
        <w:rPr>
          <w:rFonts w:ascii="Calibri" w:hAnsi="Calibri" w:cs="Calibri"/>
          <w:noProof/>
          <w:sz w:val="24"/>
          <w:szCs w:val="24"/>
          <w:lang w:val="sr-Latn-BA"/>
        </w:rPr>
        <w:t xml:space="preserve">, a zaokružuje se na četiri decimale. </w:t>
      </w:r>
      <w:r>
        <w:rPr>
          <w:rFonts w:ascii="Calibri" w:hAnsi="Calibri" w:cs="Calibri"/>
          <w:noProof/>
          <w:sz w:val="24"/>
          <w:szCs w:val="24"/>
          <w:lang w:val="sr-Latn-BA"/>
        </w:rPr>
        <w:t xml:space="preserve">Fer vrijednost dužničkih hartija od vrijednosti kojima se trguje u inostranstvu na uređenim tržištima u državi EU, OECD, i CEFTA obračunava se na osnovu posljednje cijene ostvarene tog dana na matičnoj berzi emitenta ili berzi koja je definisana kao primarni izvor cijene odnosne hartije od vrijednosti koja je uvrštena na berzansko tržište. Fer vrijednost dužničkih hartija od vrijednosti kojima se trguje na uređenim tržištima izvan država EU, OECD i CEFTA obračunava se na osnovu ponderisane prosječne cijene te hartije ostvarene na berzi na dan vrednovanja. </w:t>
      </w:r>
      <w:r w:rsidRPr="000A6E6E">
        <w:rPr>
          <w:rFonts w:ascii="Calibri" w:hAnsi="Calibri" w:cs="Calibri"/>
          <w:noProof/>
          <w:sz w:val="24"/>
          <w:szCs w:val="24"/>
          <w:lang w:val="sr-Latn-BA"/>
        </w:rPr>
        <w:t xml:space="preserve">U slučaju nepostojanju cijene na dan vrednovanja, vrednovanje dužničkih hartija od vrijednosti </w:t>
      </w:r>
      <w:r>
        <w:rPr>
          <w:rFonts w:ascii="Calibri" w:hAnsi="Calibri" w:cs="Calibri"/>
          <w:noProof/>
          <w:sz w:val="24"/>
          <w:szCs w:val="24"/>
          <w:lang w:val="sr-Latn-BA"/>
        </w:rPr>
        <w:t xml:space="preserve">vrednuje se diskontovanjem tokova gotovine, pri čemu se kao diskontna stopa koristi preovlađujujuća tržišna kamatna stopa za hartije od vrijednosti koje imaju isti ili približan rok dospjeća i isti kreditni rejting. </w:t>
      </w:r>
    </w:p>
    <w:p w:rsidR="00F35B23" w:rsidRPr="00A47E7E" w:rsidRDefault="00F35B23" w:rsidP="00F35B23">
      <w:pPr>
        <w:pStyle w:val="Header"/>
        <w:suppressAutoHyphens/>
        <w:jc w:val="both"/>
        <w:rPr>
          <w:rFonts w:ascii="Calibri" w:hAnsi="Calibri" w:cs="Calibri"/>
          <w:noProof/>
          <w:sz w:val="24"/>
          <w:szCs w:val="24"/>
          <w:lang w:val="sr-Latn-BA"/>
        </w:rPr>
      </w:pPr>
    </w:p>
    <w:p w:rsidR="00F35B23" w:rsidRPr="00A47E7E" w:rsidRDefault="00F35B23" w:rsidP="00B64A52">
      <w:pPr>
        <w:pStyle w:val="Heading2"/>
        <w:rPr>
          <w:rFonts w:ascii="Calibri" w:hAnsi="Calibri" w:cs="Calibri"/>
          <w:noProof/>
          <w:sz w:val="24"/>
          <w:szCs w:val="24"/>
        </w:rPr>
      </w:pPr>
      <w:bookmarkStart w:id="11" w:name="_Toc64534437"/>
      <w:r w:rsidRPr="00A47E7E">
        <w:rPr>
          <w:rFonts w:ascii="Calibri" w:hAnsi="Calibri" w:cs="Calibri"/>
          <w:noProof/>
          <w:sz w:val="24"/>
          <w:szCs w:val="24"/>
        </w:rPr>
        <w:t>Nerealizovani dobici i gubici po osnovu promjene fer vrijednosti ulaganja</w:t>
      </w:r>
      <w:bookmarkEnd w:id="11"/>
    </w:p>
    <w:p w:rsidR="00F35B23" w:rsidRPr="00A47E7E" w:rsidRDefault="00F35B23" w:rsidP="00F35B23">
      <w:pPr>
        <w:pStyle w:val="Header"/>
        <w:suppressAutoHyphens/>
        <w:jc w:val="both"/>
        <w:rPr>
          <w:rFonts w:ascii="Calibri" w:hAnsi="Calibri" w:cs="Calibri"/>
          <w:noProof/>
          <w:sz w:val="24"/>
          <w:szCs w:val="24"/>
          <w:lang w:val="sr-Latn-BA"/>
        </w:rPr>
      </w:pPr>
    </w:p>
    <w:p w:rsidR="00EF4125"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 xml:space="preserve">Nerealizovani dobici i gubici po osnovu promjene tržišne vrijednosti ulaganja se priznaju u korist, odnosno na teret revalorizacionih rezervi (u bilansu stanja) za finansijska ulaganja </w:t>
      </w:r>
      <w:r w:rsidRPr="00567D14">
        <w:rPr>
          <w:rFonts w:ascii="Calibri" w:hAnsi="Calibri" w:cs="Calibri"/>
          <w:noProof/>
          <w:sz w:val="24"/>
          <w:szCs w:val="24"/>
          <w:lang w:val="sr-Latn-BA"/>
        </w:rPr>
        <w:t>raspoloživa za prodaju, a u slučaju finansijskih ulaganja namijenjenih trgovanju u korist,</w:t>
      </w:r>
      <w:r w:rsidRPr="00A47E7E">
        <w:rPr>
          <w:rFonts w:ascii="Calibri" w:hAnsi="Calibri" w:cs="Calibri"/>
          <w:noProof/>
          <w:sz w:val="24"/>
          <w:szCs w:val="24"/>
          <w:lang w:val="sr-Latn-BA"/>
        </w:rPr>
        <w:t xml:space="preserve"> odnosno na teret kapitala i uključeni su u okviru pozicije nerealizovani dobici (gubici) po osnovu finansijskih sredstava po fer vrijednosti kroz bilans uspjeha, uz odgovarajuća knjiženja na kontu Ispravke vrijednosti, koji svojim saldom svodi nabavnu vrijednost ulaganja na njihovu fer vrijednost.</w:t>
      </w:r>
    </w:p>
    <w:p w:rsidR="00F35B23" w:rsidRPr="00A47E7E" w:rsidRDefault="00F35B23" w:rsidP="00F35B23">
      <w:pPr>
        <w:pStyle w:val="Header"/>
        <w:suppressAutoHyphens/>
        <w:jc w:val="both"/>
        <w:rPr>
          <w:rFonts w:ascii="Calibri" w:hAnsi="Calibri" w:cs="Calibri"/>
          <w:noProof/>
          <w:sz w:val="24"/>
          <w:szCs w:val="24"/>
          <w:lang w:val="sr-Latn-BA"/>
        </w:rPr>
      </w:pPr>
    </w:p>
    <w:p w:rsidR="00F35B23" w:rsidRPr="00A47E7E" w:rsidRDefault="00F35B23" w:rsidP="00B64A52">
      <w:pPr>
        <w:pStyle w:val="Heading2"/>
        <w:rPr>
          <w:rFonts w:ascii="Calibri" w:hAnsi="Calibri" w:cs="Calibri"/>
          <w:noProof/>
          <w:sz w:val="24"/>
          <w:szCs w:val="24"/>
        </w:rPr>
      </w:pPr>
      <w:bookmarkStart w:id="12" w:name="_Toc64534438"/>
      <w:r w:rsidRPr="00A47E7E">
        <w:rPr>
          <w:rFonts w:ascii="Calibri" w:hAnsi="Calibri" w:cs="Calibri"/>
          <w:noProof/>
          <w:sz w:val="24"/>
          <w:szCs w:val="24"/>
        </w:rPr>
        <w:t>Realizovani dobici i gubici po osnovu prodaje hartija od vrijednosti</w:t>
      </w:r>
      <w:bookmarkEnd w:id="12"/>
    </w:p>
    <w:p w:rsidR="00F35B23" w:rsidRPr="00A47E7E" w:rsidRDefault="00F35B23" w:rsidP="00F35B23">
      <w:pPr>
        <w:pStyle w:val="Header"/>
        <w:suppressAutoHyphens/>
        <w:jc w:val="both"/>
        <w:rPr>
          <w:rFonts w:ascii="Calibri" w:hAnsi="Calibri" w:cs="Calibri"/>
          <w:noProof/>
          <w:sz w:val="24"/>
          <w:szCs w:val="24"/>
          <w:lang w:val="sr-Latn-BA"/>
        </w:rPr>
      </w:pPr>
    </w:p>
    <w:p w:rsidR="00F35B23" w:rsidRPr="00A47E7E" w:rsidRDefault="00F35B23" w:rsidP="00F35B23">
      <w:pPr>
        <w:jc w:val="both"/>
        <w:rPr>
          <w:rFonts w:ascii="Calibri" w:hAnsi="Calibri" w:cs="Calibri"/>
          <w:noProof/>
          <w:lang w:val="sr-Latn-BA" w:eastAsia="hr-HR"/>
        </w:rPr>
      </w:pPr>
      <w:r w:rsidRPr="00A47E7E">
        <w:rPr>
          <w:rFonts w:ascii="Calibri" w:hAnsi="Calibri" w:cs="Calibri"/>
          <w:noProof/>
          <w:lang w:val="sr-Latn-BA" w:eastAsia="hr-HR"/>
        </w:rPr>
        <w:lastRenderedPageBreak/>
        <w:t>Realizovani dobici i gubici po osnovu prodaje hartija od vrijednosti vrednovanih po fer vrijednosti kroz bilans uspjeha obračunavaju se kao razlika između prihoda od prodaje i nabavne, odnosno knjigovodstvene vrijednosti, dok se realizovani dobici i gubici po osnovu prodaje hartija od vrijednosti raspoloživih za prodaju obračunavaju kao razlika ostvarene prodajne vrijednosti i nabavne, odnosno knjigovodstvene vrijednosti i transakcionih troškova, i evidentiraju se u okviru bilansa uspjeha kao neto realizovani dobitak/(gubitak) od transakcija sa ulaganjima.</w:t>
      </w:r>
    </w:p>
    <w:p w:rsidR="00F35B23" w:rsidRPr="00A47E7E" w:rsidRDefault="00F35B23" w:rsidP="00F35B23">
      <w:pPr>
        <w:pStyle w:val="Header"/>
        <w:suppressAutoHyphens/>
        <w:jc w:val="both"/>
        <w:rPr>
          <w:rFonts w:ascii="Calibri" w:hAnsi="Calibri" w:cs="Calibri"/>
          <w:noProof/>
          <w:sz w:val="24"/>
          <w:szCs w:val="24"/>
          <w:lang w:val="sr-Latn-BA"/>
        </w:rPr>
      </w:pPr>
    </w:p>
    <w:p w:rsidR="006060FF" w:rsidRPr="00A47E7E" w:rsidRDefault="006060FF" w:rsidP="00F014B7">
      <w:pPr>
        <w:pStyle w:val="Heading2"/>
        <w:jc w:val="center"/>
        <w:rPr>
          <w:rFonts w:ascii="Calibri" w:hAnsi="Calibri" w:cs="Calibri"/>
          <w:noProof/>
          <w:sz w:val="24"/>
          <w:szCs w:val="24"/>
        </w:rPr>
      </w:pPr>
      <w:bookmarkStart w:id="13" w:name="_Toc64534439"/>
      <w:r w:rsidRPr="00A47E7E">
        <w:rPr>
          <w:rFonts w:ascii="Calibri" w:hAnsi="Calibri" w:cs="Calibri"/>
          <w:noProof/>
          <w:sz w:val="24"/>
          <w:szCs w:val="24"/>
        </w:rPr>
        <w:t>Utvrđivanje neto vrijednosti imovine fonda</w:t>
      </w:r>
      <w:bookmarkEnd w:id="13"/>
    </w:p>
    <w:p w:rsidR="006060FF" w:rsidRPr="00A47E7E" w:rsidRDefault="006060FF" w:rsidP="006060FF">
      <w:pPr>
        <w:tabs>
          <w:tab w:val="left" w:pos="-1440"/>
          <w:tab w:val="left" w:pos="-720"/>
          <w:tab w:val="left" w:pos="889"/>
          <w:tab w:val="left" w:pos="1231"/>
          <w:tab w:val="right" w:pos="8960"/>
        </w:tabs>
        <w:rPr>
          <w:rFonts w:ascii="Calibri" w:hAnsi="Calibri" w:cs="Calibri"/>
          <w:b/>
          <w:noProof/>
        </w:rPr>
      </w:pPr>
    </w:p>
    <w:p w:rsidR="006060FF" w:rsidRPr="00A47E7E" w:rsidRDefault="006060FF" w:rsidP="00F32DB7">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Neto vrijednost imovine otvorenog investicionog fonda je vrijednost imovine fonda (ulaganja uvećana za kratkoročnu imovinu) umanjena za obaveze. Neto vrijednost imovine po udjelu fonda je neto vrijednost imovine fonda srazmjerno raspoređena na svaku izdani udio u fondu u trenutku obračuna neto vrijednosti imovine fonda.</w:t>
      </w:r>
    </w:p>
    <w:p w:rsidR="006060FF" w:rsidRPr="00A47E7E" w:rsidRDefault="006060FF" w:rsidP="006060FF">
      <w:pPr>
        <w:tabs>
          <w:tab w:val="left" w:pos="-1440"/>
          <w:tab w:val="left" w:pos="-720"/>
          <w:tab w:val="left" w:pos="889"/>
          <w:tab w:val="left" w:pos="1231"/>
          <w:tab w:val="right" w:pos="8960"/>
        </w:tabs>
        <w:rPr>
          <w:rFonts w:ascii="Calibri" w:hAnsi="Calibri" w:cs="Calibri"/>
          <w:noProof/>
        </w:rPr>
      </w:pPr>
    </w:p>
    <w:p w:rsidR="006060FF" w:rsidRPr="00A47E7E" w:rsidRDefault="006060FF" w:rsidP="00F014B7">
      <w:pPr>
        <w:pStyle w:val="Heading2"/>
        <w:jc w:val="center"/>
        <w:rPr>
          <w:rFonts w:ascii="Calibri" w:hAnsi="Calibri" w:cs="Calibri"/>
          <w:noProof/>
          <w:sz w:val="24"/>
          <w:szCs w:val="24"/>
        </w:rPr>
      </w:pPr>
      <w:bookmarkStart w:id="14" w:name="_Toc64534440"/>
      <w:r w:rsidRPr="00A47E7E">
        <w:rPr>
          <w:rFonts w:ascii="Calibri" w:hAnsi="Calibri" w:cs="Calibri"/>
          <w:noProof/>
          <w:sz w:val="24"/>
          <w:szCs w:val="24"/>
        </w:rPr>
        <w:t>Gotovine i gotovinski ekvivalenti</w:t>
      </w:r>
      <w:bookmarkEnd w:id="14"/>
    </w:p>
    <w:p w:rsidR="006060FF" w:rsidRPr="00A47E7E" w:rsidRDefault="006060FF" w:rsidP="006060FF">
      <w:pPr>
        <w:tabs>
          <w:tab w:val="left" w:pos="-1440"/>
          <w:tab w:val="left" w:pos="-720"/>
          <w:tab w:val="left" w:pos="889"/>
          <w:tab w:val="left" w:pos="1231"/>
          <w:tab w:val="right" w:pos="8960"/>
        </w:tabs>
        <w:rPr>
          <w:rFonts w:ascii="Calibri" w:hAnsi="Calibri" w:cs="Calibri"/>
          <w:noProof/>
        </w:rPr>
      </w:pPr>
    </w:p>
    <w:p w:rsidR="006060FF" w:rsidRPr="00A47E7E" w:rsidRDefault="006060FF" w:rsidP="006060FF">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Gotovinski ekvivalenti i gotovina uključuju visoko likvidna sredstva koja se mogu brzo konvertovati u poznate iznose gotovine, uz beznačajan rizik od promjene vrijednosti.</w:t>
      </w:r>
    </w:p>
    <w:p w:rsidR="006060FF" w:rsidRPr="00A47E7E" w:rsidRDefault="006060FF" w:rsidP="006060FF">
      <w:pPr>
        <w:tabs>
          <w:tab w:val="left" w:pos="-1440"/>
          <w:tab w:val="left" w:pos="-720"/>
          <w:tab w:val="left" w:pos="889"/>
          <w:tab w:val="left" w:pos="1231"/>
          <w:tab w:val="right" w:pos="8960"/>
        </w:tabs>
        <w:jc w:val="both"/>
        <w:rPr>
          <w:rFonts w:ascii="Calibri" w:hAnsi="Calibri" w:cs="Calibri"/>
          <w:noProof/>
        </w:rPr>
      </w:pPr>
    </w:p>
    <w:p w:rsidR="006060FF" w:rsidRPr="00A47E7E" w:rsidRDefault="006060FF" w:rsidP="00F014B7">
      <w:pPr>
        <w:pStyle w:val="Heading2"/>
        <w:jc w:val="center"/>
        <w:rPr>
          <w:rFonts w:ascii="Calibri" w:hAnsi="Calibri" w:cs="Calibri"/>
          <w:noProof/>
          <w:sz w:val="24"/>
          <w:szCs w:val="24"/>
        </w:rPr>
      </w:pPr>
      <w:bookmarkStart w:id="15" w:name="_Toc64534441"/>
      <w:r w:rsidRPr="00A47E7E">
        <w:rPr>
          <w:rFonts w:ascii="Calibri" w:hAnsi="Calibri" w:cs="Calibri"/>
          <w:noProof/>
          <w:sz w:val="24"/>
          <w:szCs w:val="24"/>
        </w:rPr>
        <w:t>Porezi i dopirnosi iz rezultata</w:t>
      </w:r>
      <w:bookmarkEnd w:id="15"/>
    </w:p>
    <w:p w:rsidR="006060FF" w:rsidRPr="00A47E7E" w:rsidRDefault="006060FF" w:rsidP="006060FF">
      <w:pPr>
        <w:tabs>
          <w:tab w:val="left" w:pos="-1440"/>
          <w:tab w:val="left" w:pos="-720"/>
          <w:tab w:val="left" w:pos="889"/>
          <w:tab w:val="left" w:pos="1231"/>
          <w:tab w:val="right" w:pos="8960"/>
        </w:tabs>
        <w:rPr>
          <w:rFonts w:ascii="Calibri" w:hAnsi="Calibri" w:cs="Calibri"/>
          <w:noProof/>
        </w:rPr>
      </w:pPr>
    </w:p>
    <w:p w:rsidR="006060FF" w:rsidRPr="00A47E7E" w:rsidRDefault="006060FF" w:rsidP="006060FF">
      <w:pPr>
        <w:tabs>
          <w:tab w:val="left" w:pos="-1440"/>
          <w:tab w:val="left" w:pos="-720"/>
          <w:tab w:val="left" w:pos="889"/>
          <w:tab w:val="left" w:pos="1231"/>
          <w:tab w:val="right" w:pos="8960"/>
        </w:tabs>
        <w:rPr>
          <w:rFonts w:ascii="Calibri" w:hAnsi="Calibri" w:cs="Calibri"/>
          <w:noProof/>
        </w:rPr>
      </w:pPr>
      <w:r w:rsidRPr="00A47E7E">
        <w:rPr>
          <w:rFonts w:ascii="Calibri" w:hAnsi="Calibri" w:cs="Calibri"/>
          <w:noProof/>
        </w:rPr>
        <w:t>Tekući porez na dobitak</w:t>
      </w:r>
    </w:p>
    <w:p w:rsidR="006060FF" w:rsidRPr="00A47E7E" w:rsidRDefault="006060FF" w:rsidP="006060FF">
      <w:pPr>
        <w:tabs>
          <w:tab w:val="left" w:pos="-1440"/>
          <w:tab w:val="left" w:pos="-720"/>
          <w:tab w:val="left" w:pos="889"/>
          <w:tab w:val="left" w:pos="1231"/>
          <w:tab w:val="right" w:pos="8960"/>
        </w:tabs>
        <w:rPr>
          <w:rFonts w:ascii="Calibri" w:hAnsi="Calibri" w:cs="Calibri"/>
          <w:noProof/>
        </w:rPr>
      </w:pPr>
    </w:p>
    <w:p w:rsidR="006060FF" w:rsidRPr="00A47E7E" w:rsidRDefault="006060FF" w:rsidP="00F32DB7">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Tekući porez na dobitak predstavlja iznos koji se obračunava i plaća u skladu sa Zakonom o porezu na dobit. Tekući porez na dobitak predstavlja iznos koji se obračunava primjenom propisane poreske stope od 10% na osnovicu utvrđenu poreskim bilansom, koju predstavlja iznos dobitka prije oporezivanja po odbitku efekata usklađivanja prihoda i rashoda.</w:t>
      </w:r>
    </w:p>
    <w:p w:rsidR="006060FF" w:rsidRPr="00A47E7E" w:rsidRDefault="006060FF" w:rsidP="006060FF">
      <w:pPr>
        <w:tabs>
          <w:tab w:val="left" w:pos="-1440"/>
          <w:tab w:val="left" w:pos="-720"/>
          <w:tab w:val="left" w:pos="889"/>
          <w:tab w:val="left" w:pos="1231"/>
          <w:tab w:val="right" w:pos="8960"/>
        </w:tabs>
        <w:rPr>
          <w:rFonts w:ascii="Calibri" w:hAnsi="Calibri" w:cs="Calibri"/>
          <w:noProof/>
        </w:rPr>
      </w:pPr>
    </w:p>
    <w:p w:rsidR="006060FF" w:rsidRPr="00A47E7E" w:rsidRDefault="006060FF" w:rsidP="00F32DB7">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Poreski propisi Republike Srpske ne predviđaju mogućnost da se poreski gubici iz tekućeg perioda mogu koristiti kao osnova za povraćaj poreza plaćenog u prethodnim periodima. Međutim, gubici iz tekućeg perioda iskazani u poreskom bilansu mogu se koristiti za umanjenje poreske osnovice budućih obračunskih perioda, ali ne duže od pet godina.</w:t>
      </w:r>
    </w:p>
    <w:p w:rsidR="006060FF" w:rsidRPr="00A47E7E" w:rsidRDefault="006060FF" w:rsidP="006060FF">
      <w:pPr>
        <w:tabs>
          <w:tab w:val="left" w:pos="-1440"/>
          <w:tab w:val="left" w:pos="-720"/>
          <w:tab w:val="left" w:pos="889"/>
          <w:tab w:val="left" w:pos="1231"/>
          <w:tab w:val="right" w:pos="8960"/>
        </w:tabs>
        <w:rPr>
          <w:rFonts w:ascii="Calibri" w:hAnsi="Calibri" w:cs="Calibri"/>
          <w:noProof/>
        </w:rPr>
      </w:pPr>
    </w:p>
    <w:p w:rsidR="006060FF" w:rsidRPr="00A47E7E" w:rsidRDefault="006060FF" w:rsidP="006060FF">
      <w:pPr>
        <w:tabs>
          <w:tab w:val="left" w:pos="-1440"/>
          <w:tab w:val="left" w:pos="-720"/>
          <w:tab w:val="left" w:pos="889"/>
          <w:tab w:val="left" w:pos="1231"/>
          <w:tab w:val="right" w:pos="8960"/>
        </w:tabs>
        <w:rPr>
          <w:rFonts w:ascii="Calibri" w:hAnsi="Calibri" w:cs="Calibri"/>
          <w:noProof/>
        </w:rPr>
      </w:pPr>
      <w:r w:rsidRPr="00A47E7E">
        <w:rPr>
          <w:rFonts w:ascii="Calibri" w:hAnsi="Calibri" w:cs="Calibri"/>
          <w:noProof/>
        </w:rPr>
        <w:t>Odloženi porez na dobitak</w:t>
      </w:r>
    </w:p>
    <w:p w:rsidR="006060FF" w:rsidRPr="00A47E7E" w:rsidRDefault="006060FF" w:rsidP="006060FF">
      <w:pPr>
        <w:tabs>
          <w:tab w:val="left" w:pos="-1440"/>
          <w:tab w:val="left" w:pos="-720"/>
          <w:tab w:val="left" w:pos="889"/>
          <w:tab w:val="left" w:pos="1231"/>
          <w:tab w:val="right" w:pos="8960"/>
        </w:tabs>
        <w:rPr>
          <w:rFonts w:ascii="Calibri" w:hAnsi="Calibri" w:cs="Calibri"/>
          <w:noProof/>
        </w:rPr>
      </w:pPr>
    </w:p>
    <w:p w:rsidR="006060FF" w:rsidRPr="00A47E7E" w:rsidRDefault="006060FF" w:rsidP="00F32DB7">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 xml:space="preserve">Odloženi porez na dobitak se obračunava korišćenjem metode utvrđivanja obaveza prema bilansu stanja, za privremene razlike proizašle iz razlike između poreske osnove potraživanja i obaveza u bilansu stanja i njihove knjigovodstvene vrijednosti. Važeće poreske stope na dan bilansa stanja ili poreske stope koje su nakon tog dana stupile na snagu, koriste se za utvrđivanje razgraničenog iznosa poreza na dobitak. Odložene poreske </w:t>
      </w:r>
      <w:r w:rsidRPr="00A47E7E">
        <w:rPr>
          <w:rFonts w:ascii="Calibri" w:hAnsi="Calibri" w:cs="Calibri"/>
          <w:noProof/>
        </w:rPr>
        <w:lastRenderedPageBreak/>
        <w:t>obaveze se priznaju za sve oporezive privremene razlike. Odložena poreska sredstva se priznaju za sve odbitne privremene razlike i efekte poreskih gubitaka i poreskih kredita, koji se mogu prenositi u naredne fiskalne periode, do stepena do kojeg će vjerovatno postojati oporezivi dobitak od kojeg se prenijeti poreski gubitak i krediti mogu umanjiti.</w:t>
      </w:r>
    </w:p>
    <w:p w:rsidR="00F32DB7" w:rsidRPr="00A47E7E" w:rsidRDefault="00F32DB7" w:rsidP="00F32DB7">
      <w:pPr>
        <w:tabs>
          <w:tab w:val="left" w:pos="-1440"/>
          <w:tab w:val="left" w:pos="-720"/>
          <w:tab w:val="left" w:pos="889"/>
          <w:tab w:val="left" w:pos="1231"/>
          <w:tab w:val="right" w:pos="8960"/>
        </w:tabs>
        <w:jc w:val="both"/>
        <w:rPr>
          <w:rFonts w:ascii="Calibri" w:hAnsi="Calibri" w:cs="Calibri"/>
          <w:noProof/>
        </w:rPr>
      </w:pPr>
    </w:p>
    <w:p w:rsidR="00F32DB7" w:rsidRPr="00A47E7E" w:rsidRDefault="00F32DB7" w:rsidP="00F32DB7">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Otvoreni investicioni fond nije obveznik Zakona o porezu na dobit.</w:t>
      </w:r>
    </w:p>
    <w:p w:rsidR="006060FF" w:rsidRPr="00A47E7E" w:rsidRDefault="006060FF" w:rsidP="006060FF">
      <w:pPr>
        <w:tabs>
          <w:tab w:val="left" w:pos="-1440"/>
          <w:tab w:val="left" w:pos="-720"/>
          <w:tab w:val="left" w:pos="889"/>
          <w:tab w:val="left" w:pos="1231"/>
          <w:tab w:val="right" w:pos="8960"/>
        </w:tabs>
        <w:rPr>
          <w:rFonts w:ascii="Calibri" w:hAnsi="Calibri" w:cs="Calibri"/>
          <w:noProof/>
        </w:rPr>
      </w:pPr>
    </w:p>
    <w:p w:rsidR="006060FF" w:rsidRPr="00A47E7E" w:rsidRDefault="006060FF" w:rsidP="006060FF">
      <w:pPr>
        <w:tabs>
          <w:tab w:val="left" w:pos="-1440"/>
          <w:tab w:val="left" w:pos="-720"/>
          <w:tab w:val="left" w:pos="889"/>
          <w:tab w:val="left" w:pos="1231"/>
          <w:tab w:val="right" w:pos="8960"/>
        </w:tabs>
        <w:rPr>
          <w:rFonts w:ascii="Calibri" w:hAnsi="Calibri" w:cs="Calibri"/>
          <w:noProof/>
        </w:rPr>
      </w:pPr>
      <w:r w:rsidRPr="00A47E7E">
        <w:rPr>
          <w:rFonts w:ascii="Calibri" w:hAnsi="Calibri" w:cs="Calibri"/>
          <w:noProof/>
        </w:rPr>
        <w:t>Porezi i doprinosi koji ne zavise od rezultata</w:t>
      </w:r>
    </w:p>
    <w:p w:rsidR="006060FF" w:rsidRPr="00A47E7E" w:rsidRDefault="006060FF" w:rsidP="006060FF">
      <w:pPr>
        <w:tabs>
          <w:tab w:val="left" w:pos="-1440"/>
          <w:tab w:val="left" w:pos="-720"/>
          <w:tab w:val="left" w:pos="889"/>
          <w:tab w:val="left" w:pos="1231"/>
          <w:tab w:val="right" w:pos="8960"/>
        </w:tabs>
        <w:rPr>
          <w:rFonts w:ascii="Calibri" w:hAnsi="Calibri" w:cs="Calibri"/>
          <w:noProof/>
        </w:rPr>
      </w:pPr>
    </w:p>
    <w:p w:rsidR="006060FF" w:rsidRPr="00A47E7E" w:rsidRDefault="006060FF" w:rsidP="00F32DB7">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Porezi i doprinosi koji ne zavise od rezultata predstavljaju plaćanja prema važećim republičkim i opštinskim propisima radi finansiranja raznih k</w:t>
      </w:r>
      <w:r w:rsidR="00F32DB7" w:rsidRPr="00A47E7E">
        <w:rPr>
          <w:rFonts w:ascii="Calibri" w:hAnsi="Calibri" w:cs="Calibri"/>
          <w:noProof/>
        </w:rPr>
        <w:t>omunalnih i republičkih potreba</w:t>
      </w:r>
      <w:r w:rsidRPr="00A47E7E">
        <w:rPr>
          <w:rFonts w:ascii="Calibri" w:hAnsi="Calibri" w:cs="Calibri"/>
          <w:noProof/>
        </w:rPr>
        <w:t>.</w:t>
      </w:r>
    </w:p>
    <w:p w:rsidR="006060FF" w:rsidRPr="00A47E7E" w:rsidRDefault="006060FF" w:rsidP="006060FF">
      <w:pPr>
        <w:tabs>
          <w:tab w:val="left" w:pos="-1440"/>
          <w:tab w:val="left" w:pos="-720"/>
          <w:tab w:val="left" w:pos="889"/>
          <w:tab w:val="left" w:pos="1231"/>
          <w:tab w:val="right" w:pos="8960"/>
        </w:tabs>
        <w:rPr>
          <w:rFonts w:ascii="Calibri" w:hAnsi="Calibri" w:cs="Calibri"/>
          <w:noProof/>
        </w:rPr>
      </w:pPr>
    </w:p>
    <w:p w:rsidR="006060FF" w:rsidRPr="00A47E7E" w:rsidRDefault="006060FF" w:rsidP="00F014B7">
      <w:pPr>
        <w:pStyle w:val="Heading2"/>
        <w:jc w:val="center"/>
        <w:rPr>
          <w:rFonts w:ascii="Calibri" w:hAnsi="Calibri" w:cs="Calibri"/>
          <w:noProof/>
          <w:sz w:val="24"/>
          <w:szCs w:val="24"/>
        </w:rPr>
      </w:pPr>
      <w:bookmarkStart w:id="16" w:name="_Toc64534442"/>
      <w:r w:rsidRPr="00A47E7E">
        <w:rPr>
          <w:rFonts w:ascii="Calibri" w:hAnsi="Calibri" w:cs="Calibri"/>
          <w:noProof/>
          <w:sz w:val="24"/>
          <w:szCs w:val="24"/>
        </w:rPr>
        <w:t>Povezana pravna i fizička lica</w:t>
      </w:r>
      <w:bookmarkEnd w:id="16"/>
    </w:p>
    <w:p w:rsidR="006060FF" w:rsidRPr="00A47E7E" w:rsidRDefault="006060FF" w:rsidP="006060FF">
      <w:pPr>
        <w:tabs>
          <w:tab w:val="left" w:pos="-1440"/>
          <w:tab w:val="left" w:pos="-720"/>
          <w:tab w:val="left" w:pos="889"/>
          <w:tab w:val="left" w:pos="1231"/>
          <w:tab w:val="right" w:pos="8960"/>
        </w:tabs>
        <w:rPr>
          <w:rFonts w:ascii="Calibri" w:hAnsi="Calibri" w:cs="Calibri"/>
          <w:noProof/>
        </w:rPr>
      </w:pPr>
    </w:p>
    <w:p w:rsidR="006060FF" w:rsidRPr="00A47E7E" w:rsidRDefault="006060FF" w:rsidP="006060FF">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U skladu sa odredbama Zakona o investicionim fondovima (''Službeni glasnik RS'', broj 82/15) pod povezanim stranama (licima) se smatraju:</w:t>
      </w:r>
    </w:p>
    <w:p w:rsidR="006060FF" w:rsidRPr="00A47E7E" w:rsidRDefault="006060FF" w:rsidP="006060FF">
      <w:pPr>
        <w:tabs>
          <w:tab w:val="left" w:pos="-1440"/>
          <w:tab w:val="left" w:pos="-720"/>
          <w:tab w:val="left" w:pos="889"/>
          <w:tab w:val="left" w:pos="1231"/>
          <w:tab w:val="right" w:pos="8960"/>
        </w:tabs>
        <w:jc w:val="both"/>
        <w:rPr>
          <w:rFonts w:ascii="Calibri" w:hAnsi="Calibri" w:cs="Calibri"/>
          <w:noProof/>
        </w:rPr>
      </w:pPr>
    </w:p>
    <w:p w:rsidR="006060FF" w:rsidRPr="00A47E7E" w:rsidRDefault="006060FF" w:rsidP="00F32DB7">
      <w:pPr>
        <w:numPr>
          <w:ilvl w:val="0"/>
          <w:numId w:val="39"/>
        </w:num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 xml:space="preserve">pravna i fizička lica koja su međusobno povezana vlasništvom na kapitalu ili upravljanjem kapitalom, sa 20% ili više glasčkih prava ili kapitala ili na drugi način povezana radi postizanja zajedničkih poslovnih ciljeva, tako da poslovanje i rezultati poslovanja jednog lica mogu značajno uticati na poslovanje, odnosno rezultate poslovanja drugog lica. </w:t>
      </w:r>
    </w:p>
    <w:p w:rsidR="006060FF" w:rsidRPr="00A47E7E" w:rsidRDefault="006060FF" w:rsidP="006060FF">
      <w:pPr>
        <w:tabs>
          <w:tab w:val="left" w:pos="-1440"/>
          <w:tab w:val="left" w:pos="-720"/>
          <w:tab w:val="left" w:pos="889"/>
          <w:tab w:val="left" w:pos="1231"/>
          <w:tab w:val="right" w:pos="8960"/>
        </w:tabs>
        <w:jc w:val="both"/>
        <w:rPr>
          <w:rFonts w:ascii="Calibri" w:hAnsi="Calibri" w:cs="Calibri"/>
          <w:noProof/>
        </w:rPr>
      </w:pPr>
    </w:p>
    <w:p w:rsidR="006060FF" w:rsidRPr="00A47E7E" w:rsidRDefault="006060FF" w:rsidP="00F32DB7">
      <w:pPr>
        <w:numPr>
          <w:ilvl w:val="0"/>
          <w:numId w:val="39"/>
        </w:num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povezanim licima se smatraju i lica koja su međusobno povezana: 1) tako da jedno lice, odnosno lica koja se smatraju povezanim licima u skladu sa ovom alinejom, zajedno, posredno ili neposredno, učestvuju u drugom licu, 2) tako da u oba lica učešće ima isto lice, odnosno lica koja se smatraju povezanim licima u skladu sa ovom alinejom, 3) na način propisan zakonom kojim se uređuje poslovanje privrednih društava i 4) kao članovi upravnog odbora i drugih organa u društvu u kojem obavljaju tu funkciju, odnosno u kojem su zaposleni, i članovi uže porodice tih lica;</w:t>
      </w:r>
    </w:p>
    <w:p w:rsidR="006060FF" w:rsidRPr="00A47E7E" w:rsidRDefault="006060FF" w:rsidP="006060FF">
      <w:pPr>
        <w:tabs>
          <w:tab w:val="left" w:pos="-1440"/>
          <w:tab w:val="left" w:pos="-720"/>
          <w:tab w:val="left" w:pos="889"/>
          <w:tab w:val="left" w:pos="1231"/>
          <w:tab w:val="right" w:pos="8960"/>
        </w:tabs>
        <w:jc w:val="both"/>
        <w:rPr>
          <w:rFonts w:ascii="Calibri" w:hAnsi="Calibri" w:cs="Calibri"/>
          <w:noProof/>
        </w:rPr>
      </w:pPr>
    </w:p>
    <w:p w:rsidR="006060FF" w:rsidRPr="00A47E7E" w:rsidRDefault="006060FF" w:rsidP="00F32DB7">
      <w:pPr>
        <w:numPr>
          <w:ilvl w:val="0"/>
          <w:numId w:val="39"/>
        </w:num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članovi uže porodice: 1) supružnici, odnosno lica koja žive u vanbračnoj zajednici, 2) potomci i preci u pravoj liniji neograničeno, 3) srodnici do trećeg stepena srodstva u pobočnoj liniji, uključujući i srodstvo po tazbini, 4) usvojilac i usvojenici i potomci usvojenika i 5) staralac i štićenici i potomci štićenika.</w:t>
      </w:r>
    </w:p>
    <w:p w:rsidR="006060FF" w:rsidRPr="00A47E7E" w:rsidRDefault="006060FF" w:rsidP="006060FF">
      <w:pPr>
        <w:tabs>
          <w:tab w:val="left" w:pos="-1440"/>
          <w:tab w:val="left" w:pos="-720"/>
          <w:tab w:val="left" w:pos="889"/>
          <w:tab w:val="left" w:pos="1231"/>
          <w:tab w:val="right" w:pos="8960"/>
        </w:tabs>
        <w:jc w:val="both"/>
        <w:rPr>
          <w:rFonts w:ascii="Calibri" w:hAnsi="Calibri" w:cs="Calibri"/>
          <w:noProof/>
        </w:rPr>
      </w:pPr>
    </w:p>
    <w:p w:rsidR="006060FF" w:rsidRPr="00A47E7E" w:rsidRDefault="006060FF" w:rsidP="006060FF">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Osim navedenog, Zakonom je definisano da su povezana lica fonda: društvo za upravljanje, zaposleni i lica u organima društva, banka depozitar, advokat odnosno advokatska kancelarija, revizor i poreski savjetnik koji se nalaze u ugovornom odnosu po osnovu pružanja usluga fondu, kao i svako drugo lice koje je u prethodne dvije kalendarske godine zaključilo ugovor o obavljanju usluga za potrebe fonda.</w:t>
      </w:r>
    </w:p>
    <w:p w:rsidR="006060FF" w:rsidRPr="00A47E7E" w:rsidRDefault="006060FF" w:rsidP="006060FF">
      <w:pPr>
        <w:tabs>
          <w:tab w:val="left" w:pos="-1440"/>
          <w:tab w:val="left" w:pos="-720"/>
          <w:tab w:val="left" w:pos="889"/>
          <w:tab w:val="left" w:pos="1231"/>
          <w:tab w:val="right" w:pos="8960"/>
        </w:tabs>
        <w:jc w:val="both"/>
        <w:rPr>
          <w:rFonts w:ascii="Calibri" w:hAnsi="Calibri" w:cs="Calibri"/>
          <w:noProof/>
        </w:rPr>
      </w:pPr>
    </w:p>
    <w:p w:rsidR="006060FF" w:rsidRPr="00A47E7E" w:rsidRDefault="006060FF" w:rsidP="00F014B7">
      <w:pPr>
        <w:pStyle w:val="Heading1"/>
        <w:rPr>
          <w:rFonts w:ascii="Calibri" w:hAnsi="Calibri" w:cs="Calibri"/>
          <w:noProof/>
          <w:sz w:val="24"/>
          <w:szCs w:val="24"/>
        </w:rPr>
      </w:pPr>
      <w:bookmarkStart w:id="17" w:name="_Toc64534443"/>
      <w:r w:rsidRPr="00A47E7E">
        <w:rPr>
          <w:rFonts w:ascii="Calibri" w:hAnsi="Calibri" w:cs="Calibri"/>
          <w:noProof/>
          <w:sz w:val="24"/>
          <w:szCs w:val="24"/>
        </w:rPr>
        <w:t>ZNAČAJNE RAČUNOVODSTVENE PROCJENE</w:t>
      </w:r>
      <w:bookmarkEnd w:id="17"/>
    </w:p>
    <w:p w:rsidR="006060FF" w:rsidRPr="00A47E7E" w:rsidRDefault="006060FF" w:rsidP="006060FF">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Prezentacija finansijskih izvještaja zahtijeva od rukovodstva korišćenje najboljih mogućih procjena i razumnih pretpostavki, koje imaju efekta na prezentovane vrijednosti sredstava i obaveza i objelodanjivanje potencijalnih potraživanja i obaveza na dan sastavljanja finansijskih izvještaja, kao i prihoda i rashoda u toku izvještajnog perioda. Ove procjene i pretpostavke su zasnovane na informacijama raspoloživim na dan sastavljanja finansijskih izvještaja, a budući stvarni rezultati mogu da se razlikuju od procijenjenih iznosa.</w:t>
      </w:r>
    </w:p>
    <w:p w:rsidR="006060FF" w:rsidRPr="00A47E7E" w:rsidRDefault="006060FF" w:rsidP="006060FF">
      <w:pPr>
        <w:tabs>
          <w:tab w:val="left" w:pos="-1440"/>
          <w:tab w:val="left" w:pos="-720"/>
          <w:tab w:val="left" w:pos="889"/>
          <w:tab w:val="left" w:pos="1231"/>
          <w:tab w:val="right" w:pos="8960"/>
        </w:tabs>
        <w:jc w:val="both"/>
        <w:rPr>
          <w:rFonts w:ascii="Calibri" w:hAnsi="Calibri" w:cs="Calibri"/>
          <w:noProof/>
        </w:rPr>
      </w:pPr>
    </w:p>
    <w:p w:rsidR="006060FF" w:rsidRPr="00A47E7E" w:rsidRDefault="006060FF" w:rsidP="006060FF">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Osnovne pretpostavke koje se odnose na buduće događaje i ostale značajne izvore neizvjesnosti pri davanju procjene na dan bilansa stanja, koja nose rizik sa mogućim ishodom u materijalno značajnim korekcijama sadašnje vrijednosti sredstava i obaveza u narednoj finansijskoj godini pre</w:t>
      </w:r>
      <w:r w:rsidR="004F5FC7" w:rsidRPr="00A47E7E">
        <w:rPr>
          <w:rFonts w:ascii="Calibri" w:hAnsi="Calibri" w:cs="Calibri"/>
          <w:noProof/>
        </w:rPr>
        <w:t>dstavljene su u narednom tekstu.</w:t>
      </w:r>
    </w:p>
    <w:p w:rsidR="006060FF" w:rsidRPr="00A47E7E" w:rsidRDefault="006060FF" w:rsidP="006060FF">
      <w:pPr>
        <w:tabs>
          <w:tab w:val="left" w:pos="-1440"/>
          <w:tab w:val="left" w:pos="-720"/>
          <w:tab w:val="left" w:pos="889"/>
          <w:tab w:val="left" w:pos="1231"/>
          <w:tab w:val="right" w:pos="8960"/>
        </w:tabs>
        <w:jc w:val="both"/>
        <w:rPr>
          <w:rFonts w:ascii="Calibri" w:hAnsi="Calibri" w:cs="Calibri"/>
          <w:noProof/>
        </w:rPr>
      </w:pPr>
    </w:p>
    <w:p w:rsidR="006060FF" w:rsidRPr="00A47E7E" w:rsidRDefault="00F32DB7" w:rsidP="006060FF">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Obezvr</w:t>
      </w:r>
      <w:r w:rsidR="006060FF" w:rsidRPr="00A47E7E">
        <w:rPr>
          <w:rFonts w:ascii="Calibri" w:hAnsi="Calibri" w:cs="Calibri"/>
          <w:noProof/>
        </w:rPr>
        <w:t>eđenje vrijednosti sredstava</w:t>
      </w:r>
    </w:p>
    <w:p w:rsidR="006060FF" w:rsidRPr="00A47E7E" w:rsidRDefault="006060FF" w:rsidP="006060FF">
      <w:pPr>
        <w:tabs>
          <w:tab w:val="left" w:pos="-1440"/>
          <w:tab w:val="left" w:pos="-720"/>
          <w:tab w:val="left" w:pos="889"/>
          <w:tab w:val="left" w:pos="1231"/>
          <w:tab w:val="right" w:pos="8960"/>
        </w:tabs>
        <w:jc w:val="both"/>
        <w:rPr>
          <w:rFonts w:ascii="Calibri" w:hAnsi="Calibri" w:cs="Calibri"/>
          <w:noProof/>
        </w:rPr>
      </w:pPr>
    </w:p>
    <w:p w:rsidR="006060FF" w:rsidRPr="00A47E7E" w:rsidRDefault="006060FF" w:rsidP="006060FF">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 xml:space="preserve">Na dan bilansa stanja rukovodstvo </w:t>
      </w:r>
      <w:r w:rsidR="00F32DB7" w:rsidRPr="00A47E7E">
        <w:rPr>
          <w:rFonts w:ascii="Calibri" w:hAnsi="Calibri" w:cs="Calibri"/>
          <w:noProof/>
        </w:rPr>
        <w:t>Društva</w:t>
      </w:r>
      <w:r w:rsidRPr="00A47E7E">
        <w:rPr>
          <w:rFonts w:ascii="Calibri" w:hAnsi="Calibri" w:cs="Calibri"/>
          <w:noProof/>
        </w:rPr>
        <w:t xml:space="preserve"> analizira vrijednosti sredstava prikazanih u finansijskim izvještajima</w:t>
      </w:r>
      <w:r w:rsidR="00F32DB7" w:rsidRPr="00A47E7E">
        <w:rPr>
          <w:rFonts w:ascii="Calibri" w:hAnsi="Calibri" w:cs="Calibri"/>
          <w:noProof/>
        </w:rPr>
        <w:t xml:space="preserve"> Fonda</w:t>
      </w:r>
      <w:r w:rsidRPr="00A47E7E">
        <w:rPr>
          <w:rFonts w:ascii="Calibri" w:hAnsi="Calibri" w:cs="Calibri"/>
          <w:noProof/>
        </w:rPr>
        <w:t>. Ukoliko postoji indicija da za neko sredstvo postoji obezvrjeđenje, nadoknadivi iznos tog sredstva se procjenjuje kako bi se utvrdio iznos obezvrjeđenja. Ukoliko je nadoknadivi iznos nekog sredstva procijenjen kao niži od vrijednosti iskazane u finansijskim izvještajima, vrijednost sredstva iskazanog u finansijskim izvještajima se smanjuje do svoje nadoknadive vrijednosti.</w:t>
      </w:r>
    </w:p>
    <w:p w:rsidR="006060FF" w:rsidRPr="00A47E7E" w:rsidRDefault="006060FF" w:rsidP="006060FF">
      <w:pPr>
        <w:tabs>
          <w:tab w:val="left" w:pos="-1440"/>
          <w:tab w:val="left" w:pos="-720"/>
          <w:tab w:val="left" w:pos="889"/>
          <w:tab w:val="left" w:pos="1231"/>
          <w:tab w:val="right" w:pos="8960"/>
        </w:tabs>
        <w:jc w:val="both"/>
        <w:rPr>
          <w:rFonts w:ascii="Calibri" w:hAnsi="Calibri" w:cs="Calibri"/>
          <w:noProof/>
        </w:rPr>
      </w:pPr>
    </w:p>
    <w:p w:rsidR="006060FF" w:rsidRPr="00A47E7E" w:rsidRDefault="006060FF" w:rsidP="006060FF">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Pravična (fer) vrijednost</w:t>
      </w:r>
    </w:p>
    <w:p w:rsidR="006060FF" w:rsidRPr="00A47E7E" w:rsidRDefault="006060FF" w:rsidP="006060FF">
      <w:pPr>
        <w:tabs>
          <w:tab w:val="left" w:pos="-1440"/>
          <w:tab w:val="left" w:pos="-720"/>
          <w:tab w:val="left" w:pos="889"/>
          <w:tab w:val="left" w:pos="1231"/>
          <w:tab w:val="right" w:pos="8960"/>
        </w:tabs>
        <w:jc w:val="both"/>
        <w:rPr>
          <w:rFonts w:ascii="Calibri" w:hAnsi="Calibri" w:cs="Calibri"/>
          <w:noProof/>
        </w:rPr>
      </w:pPr>
    </w:p>
    <w:p w:rsidR="006060FF" w:rsidRPr="00A47E7E" w:rsidRDefault="006060FF" w:rsidP="006060FF">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 xml:space="preserve">Poslovna politika </w:t>
      </w:r>
      <w:r w:rsidR="00F32DB7" w:rsidRPr="00A47E7E">
        <w:rPr>
          <w:rFonts w:ascii="Calibri" w:hAnsi="Calibri" w:cs="Calibri"/>
          <w:noProof/>
        </w:rPr>
        <w:t>Društva</w:t>
      </w:r>
      <w:r w:rsidRPr="00A47E7E">
        <w:rPr>
          <w:rFonts w:ascii="Calibri" w:hAnsi="Calibri" w:cs="Calibri"/>
          <w:noProof/>
        </w:rPr>
        <w:t xml:space="preserve"> je da objelodani informacije o pravičnoj vrijednosti sredstava i obaveza za koju postoje zvanične tržišne informacije i kada se pravična vrijednost značajno razlikuje od knjigovodstvene vrijednosti. U Republici Srpskoj ne postoji dovoljno tržišnog iskustva, kao ni stabilnosti i likvidnosti kod kupovine i prodaje potraživanja i ostale finansijske aktive i pasive, pošto zvanične tržišne informacije nisu u svakom trenutku raspoložive. Stoga, pravičnu vrijednost nije moguće pouzdano utvrditi u odsustvu aktivnog tržišta. Rukovodstvo Fonda vrši procjenu rizika i, u slučajevima kada se ocijeni da vrijednost po kojoj se imovina vodi u poslovnim knjigama neće biti realizovana, vrši ispravku vrijednosti. Po mišljenju rukovodstva Fonda, iznosi u ovim finansijskim izvještajima odražavaju vrijednost koja je, u datim okolnostima, najvjerodostojnija i najkorisnija za potrebe izvještavanja.</w:t>
      </w:r>
    </w:p>
    <w:p w:rsidR="00F014B7" w:rsidRPr="00A47E7E" w:rsidRDefault="00F014B7" w:rsidP="006060FF">
      <w:pPr>
        <w:tabs>
          <w:tab w:val="left" w:pos="-1440"/>
          <w:tab w:val="left" w:pos="-720"/>
          <w:tab w:val="left" w:pos="889"/>
          <w:tab w:val="left" w:pos="1231"/>
          <w:tab w:val="right" w:pos="8960"/>
        </w:tabs>
        <w:jc w:val="both"/>
        <w:rPr>
          <w:rFonts w:ascii="Calibri" w:hAnsi="Calibri" w:cs="Calibri"/>
          <w:noProof/>
        </w:rPr>
      </w:pPr>
    </w:p>
    <w:p w:rsidR="00C50773" w:rsidRPr="00E93BF4" w:rsidRDefault="00C50773" w:rsidP="00324EF4">
      <w:pPr>
        <w:tabs>
          <w:tab w:val="left" w:pos="-1440"/>
          <w:tab w:val="left" w:pos="-720"/>
          <w:tab w:val="left" w:pos="889"/>
          <w:tab w:val="left" w:pos="1231"/>
          <w:tab w:val="right" w:pos="8960"/>
        </w:tabs>
        <w:rPr>
          <w:rFonts w:asciiTheme="minorHAnsi" w:hAnsiTheme="minorHAnsi" w:cs="Calibri"/>
          <w:b/>
          <w:noProof/>
        </w:rPr>
      </w:pPr>
    </w:p>
    <w:p w:rsidR="00324EF4" w:rsidRPr="00A47E7E" w:rsidRDefault="00324EF4" w:rsidP="00324EF4">
      <w:pPr>
        <w:tabs>
          <w:tab w:val="left" w:pos="-1440"/>
          <w:tab w:val="left" w:pos="-720"/>
          <w:tab w:val="left" w:pos="889"/>
          <w:tab w:val="left" w:pos="1231"/>
          <w:tab w:val="right" w:pos="8960"/>
        </w:tabs>
        <w:jc w:val="center"/>
        <w:rPr>
          <w:rFonts w:ascii="Calibri" w:hAnsi="Calibri" w:cs="Calibri"/>
        </w:rPr>
      </w:pPr>
    </w:p>
    <w:p w:rsidR="00324EF4" w:rsidRPr="00A47E7E" w:rsidRDefault="0009145D" w:rsidP="00F014B7">
      <w:pPr>
        <w:pStyle w:val="Heading1"/>
        <w:jc w:val="left"/>
        <w:rPr>
          <w:rFonts w:ascii="Calibri" w:hAnsi="Calibri" w:cs="Calibri"/>
          <w:noProof/>
          <w:sz w:val="24"/>
          <w:szCs w:val="24"/>
        </w:rPr>
      </w:pPr>
      <w:bookmarkStart w:id="18" w:name="_Toc64534445"/>
      <w:r w:rsidRPr="00A47E7E">
        <w:rPr>
          <w:rFonts w:ascii="Calibri" w:hAnsi="Calibri" w:cs="Calibri"/>
          <w:noProof/>
          <w:sz w:val="24"/>
          <w:szCs w:val="24"/>
        </w:rPr>
        <w:lastRenderedPageBreak/>
        <w:t xml:space="preserve">PRIHODI OD KAMATA </w:t>
      </w:r>
      <w:r w:rsidR="00324EF4" w:rsidRPr="00A47E7E">
        <w:rPr>
          <w:rFonts w:ascii="Calibri" w:hAnsi="Calibri" w:cs="Calibri"/>
          <w:noProof/>
          <w:sz w:val="24"/>
          <w:szCs w:val="24"/>
        </w:rPr>
        <w:t>I AMORTIZACIJA PREMIJE (DISKONTA) PO OSNOVU HOV SA FIKSNIM ROKOM DOSPJEĆA</w:t>
      </w:r>
      <w:bookmarkEnd w:id="18"/>
    </w:p>
    <w:p w:rsidR="00E93BF4" w:rsidRPr="00E93BF4" w:rsidRDefault="00C50773" w:rsidP="00C50773">
      <w:pPr>
        <w:jc w:val="both"/>
        <w:rPr>
          <w:rFonts w:asciiTheme="minorHAnsi" w:hAnsiTheme="minorHAnsi" w:cstheme="minorHAnsi"/>
          <w:lang w:val="sv-SE"/>
        </w:rPr>
      </w:pPr>
      <w:r>
        <w:rPr>
          <w:rFonts w:asciiTheme="minorHAnsi" w:hAnsiTheme="minorHAnsi" w:cstheme="minorHAnsi"/>
          <w:lang w:val="sv-SE"/>
        </w:rPr>
        <w:tab/>
      </w:r>
      <w:r>
        <w:rPr>
          <w:rFonts w:asciiTheme="minorHAnsi" w:hAnsiTheme="minorHAnsi" w:cstheme="minorHAnsi"/>
          <w:lang w:val="sv-SE"/>
        </w:rPr>
        <w:tab/>
      </w:r>
    </w:p>
    <w:tbl>
      <w:tblPr>
        <w:tblW w:w="8340" w:type="dxa"/>
        <w:tblInd w:w="99" w:type="dxa"/>
        <w:tblLook w:val="04A0" w:firstRow="1" w:lastRow="0" w:firstColumn="1" w:lastColumn="0" w:noHBand="0" w:noVBand="1"/>
      </w:tblPr>
      <w:tblGrid>
        <w:gridCol w:w="4620"/>
        <w:gridCol w:w="2040"/>
        <w:gridCol w:w="1680"/>
      </w:tblGrid>
      <w:tr w:rsidR="00C50773" w:rsidRPr="00C50773" w:rsidTr="00C50773">
        <w:trPr>
          <w:trHeight w:val="310"/>
        </w:trPr>
        <w:tc>
          <w:tcPr>
            <w:tcW w:w="462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color w:val="000000"/>
                <w:lang w:val="sr-Latn-BA" w:eastAsia="sr-Latn-BA"/>
              </w:rPr>
            </w:pPr>
            <w:r w:rsidRPr="00C50773">
              <w:rPr>
                <w:rFonts w:ascii="Calibri" w:hAnsi="Calibri"/>
                <w:color w:val="000000"/>
                <w:lang w:val="sr-Latn-BA" w:eastAsia="sr-Latn-BA"/>
              </w:rPr>
              <w:t> </w:t>
            </w:r>
          </w:p>
        </w:tc>
        <w:tc>
          <w:tcPr>
            <w:tcW w:w="204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color w:val="000000"/>
                <w:lang w:val="sr-Latn-BA" w:eastAsia="sr-Latn-BA"/>
              </w:rPr>
            </w:pPr>
            <w:r w:rsidRPr="00C50773">
              <w:rPr>
                <w:rFonts w:ascii="Calibri" w:hAnsi="Calibri"/>
                <w:color w:val="000000"/>
                <w:lang w:val="sr-Latn-BA" w:eastAsia="sr-Latn-BA"/>
              </w:rPr>
              <w:t> </w:t>
            </w:r>
          </w:p>
        </w:tc>
        <w:tc>
          <w:tcPr>
            <w:tcW w:w="168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color w:val="000000"/>
                <w:lang w:val="sr-Latn-BA" w:eastAsia="sr-Latn-BA"/>
              </w:rPr>
            </w:pPr>
            <w:r w:rsidRPr="00C50773">
              <w:rPr>
                <w:rFonts w:ascii="Calibri" w:hAnsi="Calibri"/>
                <w:color w:val="000000"/>
                <w:lang w:val="sr-Latn-BA" w:eastAsia="sr-Latn-BA"/>
              </w:rPr>
              <w:t> </w:t>
            </w:r>
          </w:p>
        </w:tc>
      </w:tr>
      <w:tr w:rsidR="00C50773" w:rsidRPr="00C50773" w:rsidTr="00C50773">
        <w:trPr>
          <w:trHeight w:val="310"/>
        </w:trPr>
        <w:tc>
          <w:tcPr>
            <w:tcW w:w="462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b/>
                <w:bCs/>
                <w:i/>
                <w:iCs/>
                <w:color w:val="000000"/>
                <w:lang w:val="sr-Latn-BA" w:eastAsia="sr-Latn-BA"/>
              </w:rPr>
            </w:pPr>
            <w:r w:rsidRPr="00C50773">
              <w:rPr>
                <w:rFonts w:ascii="Calibri" w:hAnsi="Calibri"/>
                <w:b/>
                <w:bCs/>
                <w:i/>
                <w:iCs/>
                <w:color w:val="000000"/>
                <w:lang w:val="sr-Latn-BA" w:eastAsia="sr-Latn-BA"/>
              </w:rPr>
              <w:t> </w:t>
            </w:r>
          </w:p>
        </w:tc>
        <w:tc>
          <w:tcPr>
            <w:tcW w:w="2040" w:type="dxa"/>
            <w:tcBorders>
              <w:top w:val="nil"/>
              <w:left w:val="nil"/>
              <w:bottom w:val="nil"/>
              <w:right w:val="nil"/>
            </w:tcBorders>
            <w:shd w:val="clear" w:color="000000" w:fill="FFFFFF"/>
            <w:noWrap/>
            <w:vAlign w:val="bottom"/>
            <w:hideMark/>
          </w:tcPr>
          <w:p w:rsidR="00C50773" w:rsidRPr="00C50773" w:rsidRDefault="00C50773" w:rsidP="00C50773">
            <w:pPr>
              <w:jc w:val="center"/>
              <w:rPr>
                <w:rFonts w:ascii="Calibri" w:hAnsi="Calibri"/>
                <w:b/>
                <w:bCs/>
                <w:color w:val="000000"/>
                <w:lang w:val="sr-Latn-BA" w:eastAsia="sr-Latn-BA"/>
              </w:rPr>
            </w:pPr>
            <w:r w:rsidRPr="00C50773">
              <w:rPr>
                <w:rFonts w:ascii="Calibri" w:hAnsi="Calibri"/>
                <w:b/>
                <w:bCs/>
                <w:color w:val="000000"/>
                <w:lang w:val="sr-Latn-BA" w:eastAsia="sr-Latn-BA"/>
              </w:rPr>
              <w:t>20</w:t>
            </w:r>
            <w:r w:rsidR="006B74C5">
              <w:rPr>
                <w:rFonts w:ascii="Calibri" w:hAnsi="Calibri"/>
                <w:b/>
                <w:bCs/>
                <w:color w:val="000000"/>
                <w:lang w:val="sr-Latn-BA" w:eastAsia="sr-Latn-BA"/>
              </w:rPr>
              <w:t>2</w:t>
            </w:r>
            <w:r w:rsidR="00B40C98">
              <w:rPr>
                <w:rFonts w:ascii="Calibri" w:hAnsi="Calibri"/>
                <w:b/>
                <w:bCs/>
                <w:color w:val="000000"/>
                <w:lang w:val="sr-Latn-BA" w:eastAsia="sr-Latn-BA"/>
              </w:rPr>
              <w:t>1</w:t>
            </w:r>
          </w:p>
        </w:tc>
        <w:tc>
          <w:tcPr>
            <w:tcW w:w="1680" w:type="dxa"/>
            <w:tcBorders>
              <w:top w:val="nil"/>
              <w:left w:val="nil"/>
              <w:bottom w:val="nil"/>
              <w:right w:val="nil"/>
            </w:tcBorders>
            <w:shd w:val="clear" w:color="000000" w:fill="FFFFFF"/>
            <w:noWrap/>
            <w:vAlign w:val="bottom"/>
            <w:hideMark/>
          </w:tcPr>
          <w:p w:rsidR="00C50773" w:rsidRPr="00C50773" w:rsidRDefault="00C50773" w:rsidP="00C50773">
            <w:pPr>
              <w:jc w:val="center"/>
              <w:rPr>
                <w:rFonts w:ascii="Calibri" w:hAnsi="Calibri"/>
                <w:b/>
                <w:bCs/>
                <w:color w:val="000000"/>
                <w:lang w:val="sr-Latn-BA" w:eastAsia="sr-Latn-BA"/>
              </w:rPr>
            </w:pPr>
            <w:r w:rsidRPr="00C50773">
              <w:rPr>
                <w:rFonts w:ascii="Calibri" w:hAnsi="Calibri"/>
                <w:b/>
                <w:bCs/>
                <w:color w:val="000000"/>
                <w:lang w:val="sr-Latn-BA" w:eastAsia="sr-Latn-BA"/>
              </w:rPr>
              <w:t>20</w:t>
            </w:r>
            <w:r w:rsidR="00B40C98">
              <w:rPr>
                <w:rFonts w:ascii="Calibri" w:hAnsi="Calibri"/>
                <w:b/>
                <w:bCs/>
                <w:color w:val="000000"/>
                <w:lang w:val="sr-Latn-BA" w:eastAsia="sr-Latn-BA"/>
              </w:rPr>
              <w:t>20</w:t>
            </w:r>
          </w:p>
        </w:tc>
      </w:tr>
      <w:tr w:rsidR="006B74C5" w:rsidRPr="00C50773" w:rsidTr="00C50773">
        <w:trPr>
          <w:trHeight w:val="310"/>
        </w:trPr>
        <w:tc>
          <w:tcPr>
            <w:tcW w:w="4620" w:type="dxa"/>
            <w:tcBorders>
              <w:top w:val="nil"/>
              <w:left w:val="nil"/>
              <w:bottom w:val="nil"/>
              <w:right w:val="nil"/>
            </w:tcBorders>
            <w:shd w:val="clear" w:color="000000" w:fill="FFFFFF"/>
            <w:noWrap/>
            <w:vAlign w:val="bottom"/>
          </w:tcPr>
          <w:p w:rsidR="006B74C5" w:rsidRPr="00C50773" w:rsidRDefault="006B74C5" w:rsidP="00C50773">
            <w:pPr>
              <w:rPr>
                <w:rFonts w:ascii="Calibri" w:hAnsi="Calibri"/>
                <w:lang w:val="sr-Latn-BA" w:eastAsia="sr-Latn-BA"/>
              </w:rPr>
            </w:pPr>
            <w:r>
              <w:rPr>
                <w:rFonts w:ascii="Calibri" w:hAnsi="Calibri"/>
                <w:lang w:val="sr-Latn-BA" w:eastAsia="sr-Latn-BA"/>
              </w:rPr>
              <w:t xml:space="preserve">Prihodi od kamta na obveznice </w:t>
            </w:r>
          </w:p>
        </w:tc>
        <w:tc>
          <w:tcPr>
            <w:tcW w:w="2040" w:type="dxa"/>
            <w:tcBorders>
              <w:top w:val="nil"/>
              <w:left w:val="nil"/>
              <w:bottom w:val="nil"/>
              <w:right w:val="nil"/>
            </w:tcBorders>
            <w:shd w:val="clear" w:color="000000" w:fill="FFFFFF"/>
            <w:noWrap/>
            <w:vAlign w:val="bottom"/>
          </w:tcPr>
          <w:p w:rsidR="006B74C5" w:rsidRDefault="00B40C98" w:rsidP="00AF113C">
            <w:pPr>
              <w:jc w:val="right"/>
              <w:rPr>
                <w:rFonts w:ascii="Calibri" w:hAnsi="Calibri"/>
                <w:color w:val="000000"/>
                <w:lang w:val="sr-Latn-BA" w:eastAsia="sr-Latn-BA"/>
              </w:rPr>
            </w:pPr>
            <w:r>
              <w:rPr>
                <w:rFonts w:ascii="Calibri" w:hAnsi="Calibri"/>
                <w:color w:val="000000"/>
                <w:lang w:val="sr-Latn-BA" w:eastAsia="sr-Latn-BA"/>
              </w:rPr>
              <w:t>1.807</w:t>
            </w:r>
          </w:p>
        </w:tc>
        <w:tc>
          <w:tcPr>
            <w:tcW w:w="1680" w:type="dxa"/>
            <w:tcBorders>
              <w:top w:val="nil"/>
              <w:left w:val="nil"/>
              <w:bottom w:val="nil"/>
              <w:right w:val="nil"/>
            </w:tcBorders>
            <w:shd w:val="clear" w:color="000000" w:fill="FFFFFF"/>
            <w:vAlign w:val="center"/>
          </w:tcPr>
          <w:p w:rsidR="006B74C5" w:rsidRDefault="00B40C98" w:rsidP="00B40C98">
            <w:pPr>
              <w:jc w:val="right"/>
              <w:rPr>
                <w:rFonts w:ascii="Calibri" w:hAnsi="Calibri"/>
                <w:color w:val="000000"/>
                <w:lang w:val="sr-Latn-BA" w:eastAsia="sr-Latn-BA"/>
              </w:rPr>
            </w:pPr>
            <w:r>
              <w:rPr>
                <w:rFonts w:ascii="Calibri" w:hAnsi="Calibri"/>
                <w:color w:val="000000"/>
                <w:lang w:val="sr-Latn-BA" w:eastAsia="sr-Latn-BA"/>
              </w:rPr>
              <w:t xml:space="preserve">                 7.103</w:t>
            </w:r>
          </w:p>
        </w:tc>
      </w:tr>
      <w:tr w:rsidR="00C50773" w:rsidRPr="00C50773" w:rsidTr="00C50773">
        <w:trPr>
          <w:trHeight w:val="620"/>
        </w:trPr>
        <w:tc>
          <w:tcPr>
            <w:tcW w:w="4620" w:type="dxa"/>
            <w:tcBorders>
              <w:top w:val="nil"/>
              <w:left w:val="nil"/>
              <w:bottom w:val="nil"/>
              <w:right w:val="nil"/>
            </w:tcBorders>
            <w:shd w:val="clear" w:color="000000" w:fill="FFFFFF"/>
            <w:vAlign w:val="bottom"/>
            <w:hideMark/>
          </w:tcPr>
          <w:p w:rsidR="00C50773" w:rsidRPr="00C50773" w:rsidRDefault="00C50773" w:rsidP="00C50773">
            <w:pPr>
              <w:rPr>
                <w:rFonts w:ascii="Calibri" w:hAnsi="Calibri"/>
                <w:color w:val="000000"/>
                <w:lang w:val="sr-Latn-BA" w:eastAsia="sr-Latn-BA"/>
              </w:rPr>
            </w:pPr>
            <w:r w:rsidRPr="00C50773">
              <w:rPr>
                <w:rFonts w:ascii="Calibri" w:hAnsi="Calibri"/>
                <w:color w:val="000000"/>
                <w:lang w:val="sr-Latn-BA" w:eastAsia="sr-Latn-BA"/>
              </w:rPr>
              <w:t xml:space="preserve">Amortizacije diskonta/ premije na osnovu hov sa fiksnim rokom dospjeća </w:t>
            </w:r>
          </w:p>
        </w:tc>
        <w:tc>
          <w:tcPr>
            <w:tcW w:w="2040" w:type="dxa"/>
            <w:tcBorders>
              <w:top w:val="nil"/>
              <w:left w:val="nil"/>
              <w:bottom w:val="nil"/>
              <w:right w:val="nil"/>
            </w:tcBorders>
            <w:shd w:val="clear" w:color="000000" w:fill="FFFFFF"/>
            <w:noWrap/>
            <w:vAlign w:val="bottom"/>
            <w:hideMark/>
          </w:tcPr>
          <w:p w:rsidR="00C50773" w:rsidRPr="00C50773" w:rsidRDefault="0078416E" w:rsidP="00B40C98">
            <w:pPr>
              <w:jc w:val="right"/>
              <w:rPr>
                <w:rFonts w:ascii="Calibri" w:hAnsi="Calibri"/>
                <w:color w:val="000000"/>
                <w:lang w:val="sr-Latn-BA" w:eastAsia="sr-Latn-BA"/>
              </w:rPr>
            </w:pPr>
            <w:r>
              <w:rPr>
                <w:rFonts w:ascii="Calibri" w:hAnsi="Calibri"/>
                <w:color w:val="000000"/>
                <w:lang w:val="sr-Latn-BA" w:eastAsia="sr-Latn-BA"/>
              </w:rPr>
              <w:t>(</w:t>
            </w:r>
            <w:r w:rsidR="00B40C98">
              <w:rPr>
                <w:rFonts w:ascii="Calibri" w:hAnsi="Calibri"/>
                <w:color w:val="000000"/>
                <w:lang w:val="sr-Latn-BA" w:eastAsia="sr-Latn-BA"/>
              </w:rPr>
              <w:t xml:space="preserve"> 729</w:t>
            </w:r>
            <w:r>
              <w:rPr>
                <w:rFonts w:ascii="Calibri" w:hAnsi="Calibri"/>
                <w:color w:val="000000"/>
                <w:lang w:val="sr-Latn-BA" w:eastAsia="sr-Latn-BA"/>
              </w:rPr>
              <w:t>)</w:t>
            </w:r>
          </w:p>
        </w:tc>
        <w:tc>
          <w:tcPr>
            <w:tcW w:w="1680" w:type="dxa"/>
            <w:tcBorders>
              <w:top w:val="nil"/>
              <w:left w:val="nil"/>
              <w:bottom w:val="nil"/>
              <w:right w:val="nil"/>
            </w:tcBorders>
            <w:shd w:val="clear" w:color="000000" w:fill="FFFFFF"/>
            <w:noWrap/>
            <w:vAlign w:val="bottom"/>
            <w:hideMark/>
          </w:tcPr>
          <w:p w:rsidR="00C50773" w:rsidRPr="00C50773" w:rsidRDefault="0078416E" w:rsidP="00B40C98">
            <w:pPr>
              <w:jc w:val="right"/>
              <w:rPr>
                <w:rFonts w:ascii="Calibri" w:hAnsi="Calibri"/>
                <w:color w:val="000000"/>
                <w:lang w:val="sr-Latn-BA" w:eastAsia="sr-Latn-BA"/>
              </w:rPr>
            </w:pPr>
            <w:r>
              <w:rPr>
                <w:rFonts w:ascii="Calibri" w:hAnsi="Calibri"/>
                <w:color w:val="000000"/>
                <w:lang w:val="sr-Latn-BA" w:eastAsia="sr-Latn-BA"/>
              </w:rPr>
              <w:t>(</w:t>
            </w:r>
            <w:r w:rsidR="00B40C98">
              <w:rPr>
                <w:rFonts w:ascii="Calibri" w:hAnsi="Calibri"/>
                <w:color w:val="000000"/>
                <w:lang w:val="sr-Latn-BA" w:eastAsia="sr-Latn-BA"/>
              </w:rPr>
              <w:t>726</w:t>
            </w:r>
            <w:r>
              <w:rPr>
                <w:rFonts w:ascii="Calibri" w:hAnsi="Calibri"/>
                <w:color w:val="000000"/>
                <w:lang w:val="sr-Latn-BA" w:eastAsia="sr-Latn-BA"/>
              </w:rPr>
              <w:t>)</w:t>
            </w:r>
          </w:p>
        </w:tc>
      </w:tr>
      <w:tr w:rsidR="00AB5D79" w:rsidRPr="00C50773" w:rsidTr="00AF113C">
        <w:trPr>
          <w:trHeight w:val="310"/>
        </w:trPr>
        <w:tc>
          <w:tcPr>
            <w:tcW w:w="4620" w:type="dxa"/>
            <w:tcBorders>
              <w:top w:val="nil"/>
              <w:left w:val="nil"/>
              <w:bottom w:val="nil"/>
              <w:right w:val="nil"/>
            </w:tcBorders>
            <w:shd w:val="clear" w:color="000000" w:fill="FFFFFF"/>
            <w:noWrap/>
            <w:vAlign w:val="bottom"/>
          </w:tcPr>
          <w:p w:rsidR="00AB5D79" w:rsidRDefault="00AB5D79" w:rsidP="00AF113C">
            <w:pPr>
              <w:rPr>
                <w:rFonts w:ascii="Calibri" w:hAnsi="Calibri"/>
                <w:lang w:val="sr-Latn-BA" w:eastAsia="sr-Latn-BA"/>
              </w:rPr>
            </w:pPr>
            <w:r>
              <w:rPr>
                <w:rFonts w:ascii="Calibri" w:hAnsi="Calibri"/>
                <w:lang w:val="sr-Latn-BA" w:eastAsia="sr-Latn-BA"/>
              </w:rPr>
              <w:t xml:space="preserve">Ostali poslovni prihodi –izlazna naknada </w:t>
            </w:r>
          </w:p>
        </w:tc>
        <w:tc>
          <w:tcPr>
            <w:tcW w:w="2040" w:type="dxa"/>
            <w:tcBorders>
              <w:top w:val="nil"/>
              <w:left w:val="nil"/>
              <w:bottom w:val="nil"/>
              <w:right w:val="nil"/>
            </w:tcBorders>
            <w:shd w:val="clear" w:color="000000" w:fill="FFFFFF"/>
            <w:noWrap/>
            <w:vAlign w:val="bottom"/>
          </w:tcPr>
          <w:p w:rsidR="00AB5D79" w:rsidRDefault="00AB5D79" w:rsidP="00AF113C">
            <w:pPr>
              <w:jc w:val="right"/>
              <w:rPr>
                <w:rFonts w:ascii="Calibri" w:hAnsi="Calibri"/>
                <w:color w:val="000000"/>
                <w:lang w:val="sr-Latn-BA" w:eastAsia="sr-Latn-BA"/>
              </w:rPr>
            </w:pPr>
          </w:p>
        </w:tc>
        <w:tc>
          <w:tcPr>
            <w:tcW w:w="1680" w:type="dxa"/>
            <w:tcBorders>
              <w:top w:val="nil"/>
              <w:left w:val="nil"/>
              <w:bottom w:val="nil"/>
              <w:right w:val="nil"/>
            </w:tcBorders>
            <w:shd w:val="clear" w:color="000000" w:fill="FFFFFF"/>
            <w:vAlign w:val="center"/>
          </w:tcPr>
          <w:p w:rsidR="00AB5D79" w:rsidRDefault="00B40C98" w:rsidP="00AF113C">
            <w:pPr>
              <w:jc w:val="right"/>
              <w:rPr>
                <w:rFonts w:ascii="Calibri" w:hAnsi="Calibri"/>
                <w:color w:val="000000"/>
                <w:lang w:val="sr-Latn-BA" w:eastAsia="sr-Latn-BA"/>
              </w:rPr>
            </w:pPr>
            <w:r>
              <w:rPr>
                <w:rFonts w:ascii="Calibri" w:hAnsi="Calibri"/>
                <w:color w:val="000000"/>
                <w:lang w:val="sr-Latn-BA" w:eastAsia="sr-Latn-BA"/>
              </w:rPr>
              <w:t>642</w:t>
            </w:r>
          </w:p>
        </w:tc>
      </w:tr>
      <w:tr w:rsidR="00C50773" w:rsidRPr="00C50773" w:rsidTr="00C50773">
        <w:trPr>
          <w:trHeight w:val="370"/>
        </w:trPr>
        <w:tc>
          <w:tcPr>
            <w:tcW w:w="4620" w:type="dxa"/>
            <w:tcBorders>
              <w:top w:val="nil"/>
              <w:left w:val="nil"/>
              <w:bottom w:val="nil"/>
              <w:right w:val="nil"/>
            </w:tcBorders>
            <w:shd w:val="clear" w:color="000000" w:fill="FFFFFF"/>
            <w:noWrap/>
            <w:vAlign w:val="bottom"/>
            <w:hideMark/>
          </w:tcPr>
          <w:p w:rsidR="00AF113C" w:rsidRDefault="00AF113C" w:rsidP="00C50773">
            <w:pPr>
              <w:rPr>
                <w:rFonts w:ascii="Calibri" w:hAnsi="Calibri"/>
                <w:b/>
                <w:bCs/>
                <w:lang w:val="sr-Latn-BA" w:eastAsia="sr-Latn-BA"/>
              </w:rPr>
            </w:pPr>
          </w:p>
          <w:p w:rsidR="00C50773" w:rsidRPr="00C50773" w:rsidRDefault="00C50773" w:rsidP="00C50773">
            <w:pPr>
              <w:rPr>
                <w:rFonts w:ascii="Calibri" w:hAnsi="Calibri"/>
                <w:b/>
                <w:bCs/>
                <w:lang w:val="sr-Latn-BA" w:eastAsia="sr-Latn-BA"/>
              </w:rPr>
            </w:pPr>
            <w:r w:rsidRPr="00C50773">
              <w:rPr>
                <w:rFonts w:ascii="Calibri" w:hAnsi="Calibri"/>
                <w:b/>
                <w:bCs/>
                <w:lang w:val="sr-Latn-BA" w:eastAsia="sr-Latn-BA"/>
              </w:rPr>
              <w:t>Za go</w:t>
            </w:r>
            <w:r w:rsidR="00A5154C">
              <w:rPr>
                <w:rFonts w:ascii="Calibri" w:hAnsi="Calibri"/>
                <w:b/>
                <w:bCs/>
                <w:lang w:val="sr-Latn-BA" w:eastAsia="sr-Latn-BA"/>
              </w:rPr>
              <w:t>dinu koja se završ</w:t>
            </w:r>
            <w:r w:rsidR="00B40C98">
              <w:rPr>
                <w:rFonts w:ascii="Calibri" w:hAnsi="Calibri"/>
                <w:b/>
                <w:bCs/>
                <w:lang w:val="sr-Latn-BA" w:eastAsia="sr-Latn-BA"/>
              </w:rPr>
              <w:t>ila 31.03.2021</w:t>
            </w:r>
            <w:r w:rsidRPr="00C50773">
              <w:rPr>
                <w:rFonts w:ascii="Calibri" w:hAnsi="Calibri"/>
                <w:b/>
                <w:bCs/>
                <w:lang w:val="sr-Latn-BA" w:eastAsia="sr-Latn-BA"/>
              </w:rPr>
              <w:t>.</w:t>
            </w:r>
          </w:p>
        </w:tc>
        <w:tc>
          <w:tcPr>
            <w:tcW w:w="2040" w:type="dxa"/>
            <w:tcBorders>
              <w:top w:val="nil"/>
              <w:left w:val="nil"/>
              <w:bottom w:val="nil"/>
              <w:right w:val="nil"/>
            </w:tcBorders>
            <w:shd w:val="clear" w:color="000000" w:fill="FFFFFF"/>
            <w:noWrap/>
            <w:vAlign w:val="bottom"/>
            <w:hideMark/>
          </w:tcPr>
          <w:p w:rsidR="00C50773" w:rsidRPr="00C50773" w:rsidRDefault="00B40C98" w:rsidP="00AF113C">
            <w:pPr>
              <w:jc w:val="right"/>
              <w:rPr>
                <w:rFonts w:ascii="Calibri" w:hAnsi="Calibri"/>
                <w:b/>
                <w:bCs/>
                <w:color w:val="000000"/>
                <w:u w:val="single"/>
                <w:lang w:val="sr-Latn-BA" w:eastAsia="sr-Latn-BA"/>
              </w:rPr>
            </w:pPr>
            <w:r>
              <w:rPr>
                <w:rFonts w:ascii="Calibri" w:hAnsi="Calibri"/>
                <w:b/>
                <w:bCs/>
                <w:color w:val="000000"/>
                <w:u w:val="single"/>
                <w:lang w:val="sr-Latn-BA" w:eastAsia="sr-Latn-BA"/>
              </w:rPr>
              <w:t>1.078</w:t>
            </w:r>
          </w:p>
        </w:tc>
        <w:tc>
          <w:tcPr>
            <w:tcW w:w="1680" w:type="dxa"/>
            <w:tcBorders>
              <w:top w:val="nil"/>
              <w:left w:val="nil"/>
              <w:bottom w:val="nil"/>
              <w:right w:val="nil"/>
            </w:tcBorders>
            <w:shd w:val="clear" w:color="000000" w:fill="FFFFFF"/>
            <w:noWrap/>
            <w:vAlign w:val="bottom"/>
            <w:hideMark/>
          </w:tcPr>
          <w:p w:rsidR="00C50773" w:rsidRPr="00C50773" w:rsidRDefault="00B40C98" w:rsidP="006B74C5">
            <w:pPr>
              <w:jc w:val="right"/>
              <w:rPr>
                <w:rFonts w:ascii="Calibri" w:hAnsi="Calibri"/>
                <w:b/>
                <w:bCs/>
                <w:color w:val="000000"/>
                <w:u w:val="single"/>
                <w:lang w:val="sr-Latn-BA" w:eastAsia="sr-Latn-BA"/>
              </w:rPr>
            </w:pPr>
            <w:r>
              <w:rPr>
                <w:rFonts w:ascii="Calibri" w:hAnsi="Calibri"/>
                <w:b/>
                <w:bCs/>
                <w:color w:val="000000"/>
                <w:u w:val="single"/>
                <w:lang w:val="sr-Latn-BA" w:eastAsia="sr-Latn-BA"/>
              </w:rPr>
              <w:t>7.019</w:t>
            </w:r>
          </w:p>
        </w:tc>
      </w:tr>
    </w:tbl>
    <w:p w:rsidR="00EF35D6" w:rsidRPr="00A47E7E" w:rsidRDefault="00EF35D6" w:rsidP="00EF35D6">
      <w:pPr>
        <w:tabs>
          <w:tab w:val="left" w:pos="-1440"/>
          <w:tab w:val="left" w:pos="-720"/>
          <w:tab w:val="left" w:pos="889"/>
          <w:tab w:val="left" w:pos="1231"/>
          <w:tab w:val="right" w:pos="8960"/>
        </w:tabs>
        <w:rPr>
          <w:rFonts w:ascii="Calibri" w:hAnsi="Calibri" w:cs="Calibri"/>
          <w:b/>
          <w:noProof/>
        </w:rPr>
      </w:pPr>
    </w:p>
    <w:p w:rsidR="00952D10" w:rsidRPr="00D35CDB" w:rsidRDefault="00952D10" w:rsidP="00D35CDB">
      <w:pPr>
        <w:pStyle w:val="Heading1"/>
        <w:rPr>
          <w:rFonts w:ascii="Calibri" w:hAnsi="Calibri" w:cs="Calibri"/>
          <w:noProof/>
          <w:sz w:val="28"/>
          <w:szCs w:val="28"/>
        </w:rPr>
      </w:pPr>
      <w:bookmarkStart w:id="19" w:name="_Toc64534447"/>
      <w:r w:rsidRPr="00A47E7E">
        <w:rPr>
          <w:rFonts w:ascii="Calibri" w:hAnsi="Calibri" w:cs="Calibri"/>
          <w:noProof/>
          <w:sz w:val="24"/>
          <w:szCs w:val="24"/>
        </w:rPr>
        <w:t>NAKNADA DRUŠTVU ZA</w:t>
      </w:r>
      <w:r w:rsidR="003B2B12">
        <w:rPr>
          <w:rFonts w:ascii="Calibri" w:hAnsi="Calibri" w:cs="Calibri"/>
          <w:noProof/>
          <w:sz w:val="24"/>
          <w:szCs w:val="24"/>
        </w:rPr>
        <w:t xml:space="preserve"> </w:t>
      </w:r>
      <w:r w:rsidRPr="00A47E7E">
        <w:rPr>
          <w:rFonts w:ascii="Calibri" w:hAnsi="Calibri" w:cs="Calibri"/>
          <w:noProof/>
          <w:sz w:val="24"/>
          <w:szCs w:val="24"/>
        </w:rPr>
        <w:t xml:space="preserve"> </w:t>
      </w:r>
      <w:r w:rsidRPr="003B2B12">
        <w:rPr>
          <w:rFonts w:ascii="Calibri" w:hAnsi="Calibri" w:cs="Calibri"/>
          <w:noProof/>
          <w:sz w:val="24"/>
          <w:szCs w:val="24"/>
        </w:rPr>
        <w:t>UPRAVLJANJE</w:t>
      </w:r>
      <w:bookmarkEnd w:id="19"/>
      <w:r w:rsidR="003B2B12" w:rsidRPr="003B2B12">
        <w:rPr>
          <w:rFonts w:ascii="Calibri" w:hAnsi="Calibri" w:cs="Calibri"/>
          <w:noProof/>
          <w:sz w:val="24"/>
          <w:szCs w:val="24"/>
        </w:rPr>
        <w:t xml:space="preserve"> </w:t>
      </w:r>
      <w:r w:rsidR="008776D1" w:rsidRPr="003B2B12">
        <w:rPr>
          <w:rFonts w:ascii="Calibri" w:hAnsi="Calibri" w:cs="Calibri"/>
          <w:noProof/>
          <w:sz w:val="24"/>
          <w:szCs w:val="24"/>
        </w:rPr>
        <w:t xml:space="preserve"> </w:t>
      </w:r>
    </w:p>
    <w:p w:rsidR="00952D10" w:rsidRDefault="00952D10" w:rsidP="000924CB">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 xml:space="preserve">Rashodi po osnovu provizija za upravljanje Fondom za </w:t>
      </w:r>
      <w:r w:rsidR="008776D1">
        <w:rPr>
          <w:rFonts w:ascii="Calibri" w:hAnsi="Calibri" w:cs="Calibri"/>
          <w:noProof/>
        </w:rPr>
        <w:t xml:space="preserve">izvještajni period  </w:t>
      </w:r>
      <w:r w:rsidR="004D4B92">
        <w:rPr>
          <w:rFonts w:ascii="Calibri" w:hAnsi="Calibri" w:cs="Calibri"/>
          <w:noProof/>
        </w:rPr>
        <w:t>31.03</w:t>
      </w:r>
      <w:r w:rsidR="00B612F6">
        <w:rPr>
          <w:rFonts w:ascii="Calibri" w:hAnsi="Calibri" w:cs="Calibri"/>
          <w:noProof/>
        </w:rPr>
        <w:t>.</w:t>
      </w:r>
      <w:r w:rsidR="004D4B92">
        <w:rPr>
          <w:rFonts w:ascii="Calibri" w:hAnsi="Calibri" w:cs="Calibri"/>
          <w:noProof/>
        </w:rPr>
        <w:t>2021</w:t>
      </w:r>
      <w:r w:rsidR="002F6327">
        <w:rPr>
          <w:rFonts w:ascii="Calibri" w:hAnsi="Calibri" w:cs="Calibri"/>
          <w:noProof/>
        </w:rPr>
        <w:t>. godine</w:t>
      </w:r>
      <w:r w:rsidRPr="00A47E7E">
        <w:rPr>
          <w:rFonts w:ascii="Calibri" w:hAnsi="Calibri" w:cs="Calibri"/>
          <w:noProof/>
        </w:rPr>
        <w:t xml:space="preserve"> u iznosu od </w:t>
      </w:r>
      <w:r w:rsidR="004D4B92">
        <w:rPr>
          <w:rFonts w:ascii="Calibri" w:hAnsi="Calibri" w:cs="Calibri"/>
          <w:noProof/>
        </w:rPr>
        <w:t>15.006</w:t>
      </w:r>
      <w:r w:rsidR="008776D1">
        <w:rPr>
          <w:rFonts w:ascii="Calibri" w:hAnsi="Calibri" w:cs="Calibri"/>
          <w:noProof/>
        </w:rPr>
        <w:t xml:space="preserve"> </w:t>
      </w:r>
      <w:r w:rsidRPr="00A47E7E">
        <w:rPr>
          <w:rFonts w:ascii="Calibri" w:hAnsi="Calibri" w:cs="Calibri"/>
          <w:noProof/>
        </w:rPr>
        <w:t xml:space="preserve">Konvertibilnih maraka cjelokupno se odnose na naknadu Društvu za upravljanje.  Visina naknade se obračunava od strane </w:t>
      </w:r>
      <w:r w:rsidR="000924CB" w:rsidRPr="00A47E7E">
        <w:rPr>
          <w:rFonts w:ascii="Calibri" w:hAnsi="Calibri" w:cs="Calibri"/>
          <w:noProof/>
        </w:rPr>
        <w:t>Društva</w:t>
      </w:r>
      <w:r w:rsidR="008776D1">
        <w:rPr>
          <w:rFonts w:ascii="Calibri" w:hAnsi="Calibri" w:cs="Calibri"/>
          <w:noProof/>
        </w:rPr>
        <w:t>,</w:t>
      </w:r>
      <w:r w:rsidRPr="00A47E7E">
        <w:rPr>
          <w:rFonts w:ascii="Calibri" w:hAnsi="Calibri" w:cs="Calibri"/>
          <w:noProof/>
        </w:rPr>
        <w:t xml:space="preserve"> a tačnost potvrđuje Nova Banka ad</w:t>
      </w:r>
      <w:r w:rsidR="008776D1">
        <w:rPr>
          <w:rFonts w:ascii="Calibri" w:hAnsi="Calibri" w:cs="Calibri"/>
          <w:noProof/>
        </w:rPr>
        <w:t xml:space="preserve"> Banja Luka kao depozitar Fonda</w:t>
      </w:r>
      <w:r w:rsidR="007E1727">
        <w:rPr>
          <w:rFonts w:ascii="Calibri" w:hAnsi="Calibri" w:cs="Calibri"/>
          <w:noProof/>
        </w:rPr>
        <w:t>.</w:t>
      </w:r>
      <w:r w:rsidR="008776D1">
        <w:rPr>
          <w:rFonts w:ascii="Calibri" w:hAnsi="Calibri" w:cs="Calibri"/>
          <w:noProof/>
        </w:rPr>
        <w:t xml:space="preserve"> </w:t>
      </w:r>
    </w:p>
    <w:p w:rsidR="0037282B" w:rsidRDefault="0037282B" w:rsidP="000924CB">
      <w:pPr>
        <w:tabs>
          <w:tab w:val="left" w:pos="-1440"/>
          <w:tab w:val="left" w:pos="-720"/>
          <w:tab w:val="left" w:pos="889"/>
          <w:tab w:val="left" w:pos="1231"/>
          <w:tab w:val="right" w:pos="8960"/>
        </w:tabs>
        <w:jc w:val="both"/>
        <w:rPr>
          <w:rFonts w:ascii="Calibri" w:hAnsi="Calibri" w:cs="Calibri"/>
          <w:noProof/>
        </w:rPr>
      </w:pPr>
    </w:p>
    <w:p w:rsidR="007E1727" w:rsidRPr="00A47E7E" w:rsidRDefault="007E1727" w:rsidP="007E1727">
      <w:pPr>
        <w:pStyle w:val="Heading1"/>
        <w:rPr>
          <w:rFonts w:ascii="Calibri" w:hAnsi="Calibri" w:cs="Calibri"/>
          <w:noProof/>
          <w:sz w:val="24"/>
          <w:szCs w:val="24"/>
        </w:rPr>
      </w:pPr>
      <w:bookmarkStart w:id="20" w:name="_Toc64534448"/>
      <w:r w:rsidRPr="00A47E7E">
        <w:rPr>
          <w:rFonts w:ascii="Calibri" w:hAnsi="Calibri" w:cs="Calibri"/>
          <w:noProof/>
          <w:sz w:val="24"/>
          <w:szCs w:val="24"/>
        </w:rPr>
        <w:t xml:space="preserve">NAKNADA </w:t>
      </w:r>
      <w:r>
        <w:rPr>
          <w:rFonts w:ascii="Calibri" w:hAnsi="Calibri" w:cs="Calibri"/>
          <w:noProof/>
          <w:sz w:val="24"/>
          <w:szCs w:val="24"/>
        </w:rPr>
        <w:t>DEPOZITARU</w:t>
      </w:r>
      <w:bookmarkEnd w:id="20"/>
      <w:r>
        <w:rPr>
          <w:rFonts w:ascii="Calibri" w:hAnsi="Calibri" w:cs="Calibri"/>
          <w:noProof/>
          <w:sz w:val="24"/>
          <w:szCs w:val="24"/>
        </w:rPr>
        <w:t xml:space="preserve"> </w:t>
      </w:r>
    </w:p>
    <w:tbl>
      <w:tblPr>
        <w:tblW w:w="8068" w:type="dxa"/>
        <w:tblInd w:w="99" w:type="dxa"/>
        <w:tblLook w:val="04A0" w:firstRow="1" w:lastRow="0" w:firstColumn="1" w:lastColumn="0" w:noHBand="0" w:noVBand="1"/>
      </w:tblPr>
      <w:tblGrid>
        <w:gridCol w:w="5120"/>
        <w:gridCol w:w="1760"/>
        <w:gridCol w:w="1188"/>
      </w:tblGrid>
      <w:tr w:rsidR="007E1727" w:rsidRPr="00620BD3" w:rsidTr="0078483D">
        <w:trPr>
          <w:trHeight w:val="310"/>
        </w:trPr>
        <w:tc>
          <w:tcPr>
            <w:tcW w:w="5120" w:type="dxa"/>
            <w:tcBorders>
              <w:top w:val="nil"/>
              <w:left w:val="nil"/>
              <w:bottom w:val="nil"/>
              <w:right w:val="nil"/>
            </w:tcBorders>
            <w:shd w:val="clear" w:color="000000" w:fill="FFFFFF"/>
            <w:noWrap/>
            <w:vAlign w:val="bottom"/>
            <w:hideMark/>
          </w:tcPr>
          <w:p w:rsidR="007E1727" w:rsidRPr="00620BD3" w:rsidRDefault="007E1727" w:rsidP="0078483D">
            <w:pPr>
              <w:rPr>
                <w:rFonts w:ascii="Calibri" w:hAnsi="Calibri"/>
                <w:b/>
                <w:bCs/>
                <w:i/>
                <w:iCs/>
                <w:color w:val="000000"/>
                <w:lang w:val="sr-Latn-BA" w:eastAsia="sr-Latn-BA"/>
              </w:rPr>
            </w:pPr>
            <w:r w:rsidRPr="00620BD3">
              <w:rPr>
                <w:rFonts w:ascii="Calibri" w:hAnsi="Calibri"/>
                <w:b/>
                <w:bCs/>
                <w:i/>
                <w:iCs/>
                <w:color w:val="000000"/>
                <w:lang w:val="sr-Latn-BA" w:eastAsia="sr-Latn-BA"/>
              </w:rPr>
              <w:t> </w:t>
            </w:r>
          </w:p>
        </w:tc>
        <w:tc>
          <w:tcPr>
            <w:tcW w:w="1760" w:type="dxa"/>
            <w:tcBorders>
              <w:top w:val="nil"/>
              <w:left w:val="nil"/>
              <w:bottom w:val="nil"/>
              <w:right w:val="nil"/>
            </w:tcBorders>
            <w:shd w:val="clear" w:color="000000" w:fill="FFFFFF"/>
            <w:noWrap/>
            <w:vAlign w:val="bottom"/>
            <w:hideMark/>
          </w:tcPr>
          <w:p w:rsidR="007E1727" w:rsidRPr="00620BD3" w:rsidRDefault="007E1727" w:rsidP="0078483D">
            <w:pPr>
              <w:jc w:val="center"/>
              <w:rPr>
                <w:rFonts w:ascii="Calibri" w:hAnsi="Calibri"/>
                <w:b/>
                <w:bCs/>
                <w:color w:val="000000"/>
                <w:lang w:val="sr-Latn-BA" w:eastAsia="sr-Latn-BA"/>
              </w:rPr>
            </w:pPr>
            <w:r w:rsidRPr="00620BD3">
              <w:rPr>
                <w:rFonts w:ascii="Calibri" w:hAnsi="Calibri"/>
                <w:b/>
                <w:bCs/>
                <w:color w:val="000000"/>
                <w:lang w:val="sr-Latn-BA" w:eastAsia="sr-Latn-BA"/>
              </w:rPr>
              <w:t>20</w:t>
            </w:r>
            <w:r w:rsidR="00333524">
              <w:rPr>
                <w:rFonts w:ascii="Calibri" w:hAnsi="Calibri"/>
                <w:b/>
                <w:bCs/>
                <w:color w:val="000000"/>
                <w:lang w:val="sr-Latn-BA" w:eastAsia="sr-Latn-BA"/>
              </w:rPr>
              <w:t>2</w:t>
            </w:r>
            <w:r w:rsidR="004D4B92">
              <w:rPr>
                <w:rFonts w:ascii="Calibri" w:hAnsi="Calibri"/>
                <w:b/>
                <w:bCs/>
                <w:color w:val="000000"/>
                <w:lang w:val="sr-Latn-BA" w:eastAsia="sr-Latn-BA"/>
              </w:rPr>
              <w:t>1</w:t>
            </w:r>
          </w:p>
        </w:tc>
        <w:tc>
          <w:tcPr>
            <w:tcW w:w="1188" w:type="dxa"/>
            <w:tcBorders>
              <w:top w:val="nil"/>
              <w:left w:val="nil"/>
              <w:bottom w:val="nil"/>
              <w:right w:val="nil"/>
            </w:tcBorders>
            <w:shd w:val="clear" w:color="000000" w:fill="FFFFFF"/>
            <w:noWrap/>
            <w:vAlign w:val="bottom"/>
            <w:hideMark/>
          </w:tcPr>
          <w:p w:rsidR="007E1727" w:rsidRPr="00620BD3" w:rsidRDefault="007E1727" w:rsidP="0078483D">
            <w:pPr>
              <w:jc w:val="center"/>
              <w:rPr>
                <w:rFonts w:ascii="Calibri" w:hAnsi="Calibri"/>
                <w:b/>
                <w:bCs/>
                <w:color w:val="000000"/>
                <w:lang w:val="sr-Latn-BA" w:eastAsia="sr-Latn-BA"/>
              </w:rPr>
            </w:pPr>
            <w:r w:rsidRPr="00620BD3">
              <w:rPr>
                <w:rFonts w:ascii="Calibri" w:hAnsi="Calibri"/>
                <w:b/>
                <w:bCs/>
                <w:color w:val="000000"/>
                <w:lang w:val="sr-Latn-BA" w:eastAsia="sr-Latn-BA"/>
              </w:rPr>
              <w:t>20</w:t>
            </w:r>
            <w:r w:rsidR="004D4B92">
              <w:rPr>
                <w:rFonts w:ascii="Calibri" w:hAnsi="Calibri"/>
                <w:b/>
                <w:bCs/>
                <w:color w:val="000000"/>
                <w:lang w:val="sr-Latn-BA" w:eastAsia="sr-Latn-BA"/>
              </w:rPr>
              <w:t>20</w:t>
            </w:r>
          </w:p>
        </w:tc>
      </w:tr>
      <w:tr w:rsidR="007E1727" w:rsidRPr="00620BD3" w:rsidTr="0078483D">
        <w:trPr>
          <w:trHeight w:val="310"/>
        </w:trPr>
        <w:tc>
          <w:tcPr>
            <w:tcW w:w="5120" w:type="dxa"/>
            <w:tcBorders>
              <w:top w:val="nil"/>
              <w:left w:val="nil"/>
              <w:bottom w:val="nil"/>
              <w:right w:val="nil"/>
            </w:tcBorders>
            <w:shd w:val="clear" w:color="000000" w:fill="FFFFFF"/>
            <w:noWrap/>
            <w:vAlign w:val="bottom"/>
            <w:hideMark/>
          </w:tcPr>
          <w:p w:rsidR="007E1727" w:rsidRPr="00620BD3" w:rsidRDefault="007E1727" w:rsidP="0078483D">
            <w:pPr>
              <w:rPr>
                <w:rFonts w:ascii="Calibri" w:hAnsi="Calibri"/>
                <w:b/>
                <w:bCs/>
                <w:i/>
                <w:iCs/>
                <w:color w:val="000000"/>
                <w:lang w:val="sr-Latn-BA" w:eastAsia="sr-Latn-BA"/>
              </w:rPr>
            </w:pPr>
            <w:r w:rsidRPr="00620BD3">
              <w:rPr>
                <w:rFonts w:ascii="Calibri" w:hAnsi="Calibri"/>
                <w:b/>
                <w:bCs/>
                <w:i/>
                <w:iCs/>
                <w:color w:val="000000"/>
                <w:lang w:val="sr-Latn-BA" w:eastAsia="sr-Latn-BA"/>
              </w:rPr>
              <w:t> </w:t>
            </w:r>
          </w:p>
        </w:tc>
        <w:tc>
          <w:tcPr>
            <w:tcW w:w="1760" w:type="dxa"/>
            <w:tcBorders>
              <w:top w:val="nil"/>
              <w:left w:val="nil"/>
              <w:bottom w:val="nil"/>
              <w:right w:val="nil"/>
            </w:tcBorders>
            <w:shd w:val="clear" w:color="000000" w:fill="FFFFFF"/>
            <w:noWrap/>
            <w:vAlign w:val="bottom"/>
            <w:hideMark/>
          </w:tcPr>
          <w:p w:rsidR="007E1727" w:rsidRPr="00620BD3" w:rsidRDefault="007E1727" w:rsidP="0078483D">
            <w:pPr>
              <w:jc w:val="center"/>
              <w:rPr>
                <w:rFonts w:ascii="Calibri" w:hAnsi="Calibri"/>
                <w:b/>
                <w:bCs/>
                <w:color w:val="000000"/>
                <w:lang w:val="sr-Latn-BA" w:eastAsia="sr-Latn-BA"/>
              </w:rPr>
            </w:pPr>
            <w:r w:rsidRPr="00620BD3">
              <w:rPr>
                <w:rFonts w:ascii="Calibri" w:hAnsi="Calibri"/>
                <w:b/>
                <w:bCs/>
                <w:color w:val="000000"/>
                <w:lang w:val="sr-Latn-BA" w:eastAsia="sr-Latn-BA"/>
              </w:rPr>
              <w:t> </w:t>
            </w:r>
          </w:p>
        </w:tc>
        <w:tc>
          <w:tcPr>
            <w:tcW w:w="1188" w:type="dxa"/>
            <w:tcBorders>
              <w:top w:val="nil"/>
              <w:left w:val="nil"/>
              <w:bottom w:val="nil"/>
              <w:right w:val="nil"/>
            </w:tcBorders>
            <w:shd w:val="clear" w:color="000000" w:fill="FFFFFF"/>
            <w:noWrap/>
            <w:vAlign w:val="bottom"/>
            <w:hideMark/>
          </w:tcPr>
          <w:p w:rsidR="007E1727" w:rsidRPr="00620BD3" w:rsidRDefault="007E1727" w:rsidP="0078483D">
            <w:pPr>
              <w:jc w:val="center"/>
              <w:rPr>
                <w:rFonts w:ascii="Calibri" w:hAnsi="Calibri"/>
                <w:b/>
                <w:bCs/>
                <w:color w:val="000000"/>
                <w:lang w:val="sr-Latn-BA" w:eastAsia="sr-Latn-BA"/>
              </w:rPr>
            </w:pPr>
            <w:r w:rsidRPr="00620BD3">
              <w:rPr>
                <w:rFonts w:ascii="Calibri" w:hAnsi="Calibri"/>
                <w:b/>
                <w:bCs/>
                <w:color w:val="000000"/>
                <w:lang w:val="sr-Latn-BA" w:eastAsia="sr-Latn-BA"/>
              </w:rPr>
              <w:t> </w:t>
            </w:r>
          </w:p>
        </w:tc>
      </w:tr>
      <w:tr w:rsidR="007E1727" w:rsidRPr="00620BD3" w:rsidTr="0078483D">
        <w:trPr>
          <w:trHeight w:val="310"/>
        </w:trPr>
        <w:tc>
          <w:tcPr>
            <w:tcW w:w="5120" w:type="dxa"/>
            <w:tcBorders>
              <w:top w:val="nil"/>
              <w:left w:val="nil"/>
              <w:bottom w:val="nil"/>
              <w:right w:val="nil"/>
            </w:tcBorders>
            <w:shd w:val="clear" w:color="000000" w:fill="FFFFFF"/>
            <w:noWrap/>
            <w:vAlign w:val="bottom"/>
            <w:hideMark/>
          </w:tcPr>
          <w:p w:rsidR="007E1727" w:rsidRPr="00620BD3" w:rsidRDefault="007E1727" w:rsidP="0078483D">
            <w:pPr>
              <w:rPr>
                <w:rFonts w:ascii="Calibri" w:hAnsi="Calibri"/>
                <w:lang w:val="sr-Latn-BA" w:eastAsia="sr-Latn-BA"/>
              </w:rPr>
            </w:pPr>
            <w:r>
              <w:rPr>
                <w:rFonts w:ascii="Calibri" w:hAnsi="Calibri"/>
                <w:lang w:val="sr-Latn-BA" w:eastAsia="sr-Latn-BA"/>
              </w:rPr>
              <w:t xml:space="preserve">Naknada depozitaru </w:t>
            </w:r>
          </w:p>
        </w:tc>
        <w:tc>
          <w:tcPr>
            <w:tcW w:w="1760" w:type="dxa"/>
            <w:tcBorders>
              <w:top w:val="nil"/>
              <w:left w:val="nil"/>
              <w:bottom w:val="nil"/>
              <w:right w:val="nil"/>
            </w:tcBorders>
            <w:shd w:val="clear" w:color="000000" w:fill="FFFFFF"/>
            <w:noWrap/>
            <w:vAlign w:val="bottom"/>
            <w:hideMark/>
          </w:tcPr>
          <w:p w:rsidR="007E1727" w:rsidRPr="00620BD3" w:rsidRDefault="007E1727" w:rsidP="004D4B92">
            <w:pPr>
              <w:jc w:val="right"/>
              <w:rPr>
                <w:rFonts w:ascii="Calibri" w:hAnsi="Calibri"/>
                <w:color w:val="000000"/>
                <w:lang w:val="sr-Latn-BA" w:eastAsia="sr-Latn-BA"/>
              </w:rPr>
            </w:pPr>
            <w:r w:rsidRPr="00620BD3">
              <w:rPr>
                <w:rFonts w:ascii="Calibri" w:hAnsi="Calibri"/>
                <w:color w:val="000000"/>
                <w:lang w:val="sr-Latn-BA" w:eastAsia="sr-Latn-BA"/>
              </w:rPr>
              <w:t xml:space="preserve">         </w:t>
            </w:r>
            <w:r w:rsidR="004D4B92">
              <w:rPr>
                <w:rFonts w:ascii="Calibri" w:hAnsi="Calibri"/>
                <w:color w:val="000000"/>
                <w:lang w:val="sr-Latn-BA" w:eastAsia="sr-Latn-BA"/>
              </w:rPr>
              <w:t>915</w:t>
            </w:r>
          </w:p>
        </w:tc>
        <w:tc>
          <w:tcPr>
            <w:tcW w:w="1188" w:type="dxa"/>
            <w:tcBorders>
              <w:top w:val="nil"/>
              <w:left w:val="nil"/>
              <w:bottom w:val="nil"/>
              <w:right w:val="nil"/>
            </w:tcBorders>
            <w:shd w:val="clear" w:color="000000" w:fill="FFFFFF"/>
            <w:vAlign w:val="center"/>
            <w:hideMark/>
          </w:tcPr>
          <w:p w:rsidR="007E1727" w:rsidRPr="00620BD3" w:rsidRDefault="004D4B92" w:rsidP="0078483D">
            <w:pPr>
              <w:jc w:val="right"/>
              <w:rPr>
                <w:rFonts w:ascii="Calibri" w:hAnsi="Calibri"/>
                <w:color w:val="000000"/>
                <w:lang w:val="sr-Latn-BA" w:eastAsia="sr-Latn-BA"/>
              </w:rPr>
            </w:pPr>
            <w:r>
              <w:rPr>
                <w:rFonts w:ascii="Calibri" w:hAnsi="Calibri"/>
                <w:color w:val="000000"/>
                <w:lang w:val="sr-Latn-BA" w:eastAsia="sr-Latn-BA"/>
              </w:rPr>
              <w:t>1.200</w:t>
            </w:r>
          </w:p>
        </w:tc>
      </w:tr>
      <w:tr w:rsidR="007E1727" w:rsidRPr="00620BD3" w:rsidTr="0078483D">
        <w:trPr>
          <w:trHeight w:val="310"/>
        </w:trPr>
        <w:tc>
          <w:tcPr>
            <w:tcW w:w="5120" w:type="dxa"/>
            <w:tcBorders>
              <w:top w:val="nil"/>
              <w:left w:val="nil"/>
              <w:bottom w:val="nil"/>
              <w:right w:val="nil"/>
            </w:tcBorders>
            <w:shd w:val="clear" w:color="000000" w:fill="FFFFFF"/>
            <w:noWrap/>
            <w:vAlign w:val="bottom"/>
            <w:hideMark/>
          </w:tcPr>
          <w:p w:rsidR="007E1727" w:rsidRPr="00620BD3" w:rsidRDefault="007E1727" w:rsidP="0078483D">
            <w:pPr>
              <w:rPr>
                <w:rFonts w:ascii="Calibri" w:hAnsi="Calibri"/>
                <w:lang w:val="sr-Latn-BA" w:eastAsia="sr-Latn-BA"/>
              </w:rPr>
            </w:pPr>
            <w:r w:rsidRPr="00620BD3">
              <w:rPr>
                <w:rFonts w:ascii="Calibri" w:hAnsi="Calibri"/>
                <w:lang w:val="sr-Latn-BA" w:eastAsia="sr-Latn-BA"/>
              </w:rPr>
              <w:t> </w:t>
            </w:r>
          </w:p>
        </w:tc>
        <w:tc>
          <w:tcPr>
            <w:tcW w:w="1760" w:type="dxa"/>
            <w:tcBorders>
              <w:top w:val="nil"/>
              <w:left w:val="nil"/>
              <w:bottom w:val="nil"/>
              <w:right w:val="nil"/>
            </w:tcBorders>
            <w:shd w:val="clear" w:color="000000" w:fill="FFFFFF"/>
            <w:vAlign w:val="center"/>
            <w:hideMark/>
          </w:tcPr>
          <w:p w:rsidR="007E1727" w:rsidRPr="00620BD3" w:rsidRDefault="007E1727" w:rsidP="0078483D">
            <w:pPr>
              <w:jc w:val="right"/>
              <w:rPr>
                <w:rFonts w:ascii="Calibri" w:hAnsi="Calibri"/>
                <w:color w:val="000000"/>
                <w:lang w:val="sr-Latn-BA" w:eastAsia="sr-Latn-BA"/>
              </w:rPr>
            </w:pPr>
            <w:r w:rsidRPr="00620BD3">
              <w:rPr>
                <w:rFonts w:ascii="Calibri" w:hAnsi="Calibri"/>
                <w:color w:val="000000"/>
                <w:lang w:val="sr-Latn-BA" w:eastAsia="sr-Latn-BA"/>
              </w:rPr>
              <w:t> </w:t>
            </w:r>
          </w:p>
        </w:tc>
        <w:tc>
          <w:tcPr>
            <w:tcW w:w="1188" w:type="dxa"/>
            <w:tcBorders>
              <w:top w:val="nil"/>
              <w:left w:val="nil"/>
              <w:bottom w:val="nil"/>
              <w:right w:val="nil"/>
            </w:tcBorders>
            <w:shd w:val="clear" w:color="000000" w:fill="FFFFFF"/>
            <w:vAlign w:val="center"/>
            <w:hideMark/>
          </w:tcPr>
          <w:p w:rsidR="007E1727" w:rsidRPr="00620BD3" w:rsidRDefault="007E1727" w:rsidP="0078483D">
            <w:pPr>
              <w:jc w:val="right"/>
              <w:rPr>
                <w:rFonts w:ascii="Calibri" w:hAnsi="Calibri"/>
                <w:color w:val="000000"/>
                <w:lang w:val="sr-Latn-BA" w:eastAsia="sr-Latn-BA"/>
              </w:rPr>
            </w:pPr>
            <w:r w:rsidRPr="00620BD3">
              <w:rPr>
                <w:rFonts w:ascii="Calibri" w:hAnsi="Calibri"/>
                <w:color w:val="000000"/>
                <w:lang w:val="sr-Latn-BA" w:eastAsia="sr-Latn-BA"/>
              </w:rPr>
              <w:t> </w:t>
            </w:r>
          </w:p>
        </w:tc>
      </w:tr>
      <w:tr w:rsidR="007E1727" w:rsidRPr="00620BD3" w:rsidTr="0078483D">
        <w:trPr>
          <w:trHeight w:val="370"/>
        </w:trPr>
        <w:tc>
          <w:tcPr>
            <w:tcW w:w="5120" w:type="dxa"/>
            <w:tcBorders>
              <w:top w:val="nil"/>
              <w:left w:val="nil"/>
              <w:bottom w:val="nil"/>
              <w:right w:val="nil"/>
            </w:tcBorders>
            <w:shd w:val="clear" w:color="000000" w:fill="FFFFFF"/>
            <w:noWrap/>
            <w:vAlign w:val="bottom"/>
            <w:hideMark/>
          </w:tcPr>
          <w:p w:rsidR="007E1727" w:rsidRPr="00620BD3" w:rsidRDefault="007E1727" w:rsidP="0078483D">
            <w:pPr>
              <w:rPr>
                <w:rFonts w:ascii="Calibri" w:hAnsi="Calibri"/>
                <w:b/>
                <w:bCs/>
                <w:lang w:val="sr-Latn-BA" w:eastAsia="sr-Latn-BA"/>
              </w:rPr>
            </w:pPr>
            <w:r w:rsidRPr="00620BD3">
              <w:rPr>
                <w:rFonts w:ascii="Calibri" w:hAnsi="Calibri"/>
                <w:b/>
                <w:bCs/>
                <w:lang w:val="sr-Latn-BA" w:eastAsia="sr-Latn-BA"/>
              </w:rPr>
              <w:t>Za go</w:t>
            </w:r>
            <w:r w:rsidR="004D4B92">
              <w:rPr>
                <w:rFonts w:ascii="Calibri" w:hAnsi="Calibri"/>
                <w:b/>
                <w:bCs/>
                <w:lang w:val="sr-Latn-BA" w:eastAsia="sr-Latn-BA"/>
              </w:rPr>
              <w:t>dinu koja se završila 31.03.2021</w:t>
            </w:r>
            <w:r w:rsidRPr="00620BD3">
              <w:rPr>
                <w:rFonts w:ascii="Calibri" w:hAnsi="Calibri"/>
                <w:b/>
                <w:bCs/>
                <w:lang w:val="sr-Latn-BA" w:eastAsia="sr-Latn-BA"/>
              </w:rPr>
              <w:t>.</w:t>
            </w:r>
          </w:p>
        </w:tc>
        <w:tc>
          <w:tcPr>
            <w:tcW w:w="1760" w:type="dxa"/>
            <w:tcBorders>
              <w:top w:val="nil"/>
              <w:left w:val="nil"/>
              <w:bottom w:val="nil"/>
              <w:right w:val="nil"/>
            </w:tcBorders>
            <w:shd w:val="clear" w:color="000000" w:fill="FFFFFF"/>
            <w:noWrap/>
            <w:vAlign w:val="bottom"/>
            <w:hideMark/>
          </w:tcPr>
          <w:p w:rsidR="007E1727" w:rsidRPr="004D4B92" w:rsidRDefault="004D4B92" w:rsidP="00F23FFD">
            <w:pPr>
              <w:jc w:val="right"/>
              <w:rPr>
                <w:rFonts w:ascii="Calibri" w:hAnsi="Calibri"/>
                <w:b/>
                <w:color w:val="000000"/>
                <w:u w:val="single"/>
                <w:lang w:val="sr-Latn-BA" w:eastAsia="sr-Latn-BA"/>
              </w:rPr>
            </w:pPr>
            <w:r w:rsidRPr="004D4B92">
              <w:rPr>
                <w:rFonts w:ascii="Calibri" w:hAnsi="Calibri"/>
                <w:b/>
                <w:color w:val="000000"/>
                <w:u w:val="single"/>
                <w:lang w:val="sr-Latn-BA" w:eastAsia="sr-Latn-BA"/>
              </w:rPr>
              <w:t>915</w:t>
            </w:r>
            <w:r w:rsidR="007E1727" w:rsidRPr="004D4B92">
              <w:rPr>
                <w:rFonts w:ascii="Calibri" w:hAnsi="Calibri"/>
                <w:b/>
                <w:color w:val="000000"/>
                <w:u w:val="single"/>
                <w:lang w:val="sr-Latn-BA" w:eastAsia="sr-Latn-BA"/>
              </w:rPr>
              <w:t xml:space="preserve"> </w:t>
            </w:r>
          </w:p>
        </w:tc>
        <w:tc>
          <w:tcPr>
            <w:tcW w:w="1188" w:type="dxa"/>
            <w:tcBorders>
              <w:top w:val="nil"/>
              <w:left w:val="nil"/>
              <w:bottom w:val="nil"/>
              <w:right w:val="nil"/>
            </w:tcBorders>
            <w:shd w:val="clear" w:color="000000" w:fill="FFFFFF"/>
            <w:noWrap/>
            <w:vAlign w:val="bottom"/>
            <w:hideMark/>
          </w:tcPr>
          <w:p w:rsidR="007E1727" w:rsidRPr="00620BD3" w:rsidRDefault="004D4B92" w:rsidP="0078483D">
            <w:pPr>
              <w:jc w:val="right"/>
              <w:rPr>
                <w:rFonts w:ascii="Calibri" w:hAnsi="Calibri"/>
                <w:color w:val="000000"/>
                <w:u w:val="single"/>
                <w:lang w:val="sr-Latn-BA" w:eastAsia="sr-Latn-BA"/>
              </w:rPr>
            </w:pPr>
            <w:r>
              <w:rPr>
                <w:rFonts w:ascii="Calibri" w:hAnsi="Calibri"/>
                <w:b/>
                <w:color w:val="000000"/>
                <w:u w:val="single"/>
                <w:lang w:val="sr-Latn-BA" w:eastAsia="sr-Latn-BA"/>
              </w:rPr>
              <w:t>1.200</w:t>
            </w:r>
          </w:p>
        </w:tc>
      </w:tr>
    </w:tbl>
    <w:p w:rsidR="00952D10" w:rsidRPr="00A47E7E" w:rsidRDefault="00952D10" w:rsidP="00952D10">
      <w:pPr>
        <w:tabs>
          <w:tab w:val="left" w:pos="-1440"/>
          <w:tab w:val="left" w:pos="-720"/>
          <w:tab w:val="left" w:pos="889"/>
          <w:tab w:val="left" w:pos="1231"/>
          <w:tab w:val="right" w:pos="8960"/>
        </w:tabs>
        <w:rPr>
          <w:rFonts w:ascii="Calibri" w:hAnsi="Calibri" w:cs="Calibri"/>
          <w:noProof/>
        </w:rPr>
      </w:pPr>
    </w:p>
    <w:p w:rsidR="00952D10" w:rsidRDefault="00952D10" w:rsidP="00B64A52">
      <w:pPr>
        <w:pStyle w:val="Heading1"/>
        <w:rPr>
          <w:rFonts w:ascii="Calibri" w:hAnsi="Calibri" w:cs="Calibri"/>
          <w:noProof/>
          <w:sz w:val="24"/>
          <w:szCs w:val="24"/>
          <w:lang w:val="sr-Latn-CS"/>
        </w:rPr>
      </w:pPr>
      <w:bookmarkStart w:id="21" w:name="_Toc64534449"/>
      <w:r w:rsidRPr="00A47E7E">
        <w:rPr>
          <w:rFonts w:ascii="Calibri" w:hAnsi="Calibri" w:cs="Calibri"/>
          <w:noProof/>
          <w:sz w:val="24"/>
          <w:szCs w:val="24"/>
          <w:lang w:val="sr-Latn-CS"/>
        </w:rPr>
        <w:t>OSTALI POSLOVNI RASHODI FONDA</w:t>
      </w:r>
      <w:bookmarkEnd w:id="21"/>
    </w:p>
    <w:tbl>
      <w:tblPr>
        <w:tblW w:w="7900" w:type="dxa"/>
        <w:tblInd w:w="99" w:type="dxa"/>
        <w:tblLook w:val="04A0" w:firstRow="1" w:lastRow="0" w:firstColumn="1" w:lastColumn="0" w:noHBand="0" w:noVBand="1"/>
      </w:tblPr>
      <w:tblGrid>
        <w:gridCol w:w="5120"/>
        <w:gridCol w:w="1760"/>
        <w:gridCol w:w="1020"/>
      </w:tblGrid>
      <w:tr w:rsidR="00620BD3" w:rsidRPr="00620BD3" w:rsidTr="00620BD3">
        <w:trPr>
          <w:trHeight w:val="310"/>
        </w:trPr>
        <w:tc>
          <w:tcPr>
            <w:tcW w:w="5120" w:type="dxa"/>
            <w:tcBorders>
              <w:top w:val="nil"/>
              <w:left w:val="nil"/>
              <w:bottom w:val="nil"/>
              <w:right w:val="nil"/>
            </w:tcBorders>
            <w:shd w:val="clear" w:color="000000" w:fill="FFFFFF"/>
            <w:noWrap/>
            <w:vAlign w:val="bottom"/>
            <w:hideMark/>
          </w:tcPr>
          <w:p w:rsidR="00620BD3" w:rsidRPr="00620BD3" w:rsidRDefault="00620BD3" w:rsidP="00620BD3">
            <w:pPr>
              <w:rPr>
                <w:rFonts w:ascii="Calibri" w:hAnsi="Calibri"/>
                <w:b/>
                <w:bCs/>
                <w:i/>
                <w:iCs/>
                <w:color w:val="000000"/>
                <w:lang w:val="sr-Latn-BA" w:eastAsia="sr-Latn-BA"/>
              </w:rPr>
            </w:pPr>
            <w:r w:rsidRPr="00620BD3">
              <w:rPr>
                <w:rFonts w:ascii="Calibri" w:hAnsi="Calibri"/>
                <w:b/>
                <w:bCs/>
                <w:i/>
                <w:iCs/>
                <w:color w:val="000000"/>
                <w:lang w:val="sr-Latn-BA" w:eastAsia="sr-Latn-BA"/>
              </w:rPr>
              <w:t> </w:t>
            </w:r>
          </w:p>
        </w:tc>
        <w:tc>
          <w:tcPr>
            <w:tcW w:w="1760" w:type="dxa"/>
            <w:tcBorders>
              <w:top w:val="nil"/>
              <w:left w:val="nil"/>
              <w:bottom w:val="nil"/>
              <w:right w:val="nil"/>
            </w:tcBorders>
            <w:shd w:val="clear" w:color="000000" w:fill="FFFFFF"/>
            <w:noWrap/>
            <w:vAlign w:val="bottom"/>
            <w:hideMark/>
          </w:tcPr>
          <w:p w:rsidR="00620BD3" w:rsidRPr="00620BD3" w:rsidRDefault="00620BD3" w:rsidP="00620BD3">
            <w:pPr>
              <w:jc w:val="center"/>
              <w:rPr>
                <w:rFonts w:ascii="Calibri" w:hAnsi="Calibri"/>
                <w:b/>
                <w:bCs/>
                <w:color w:val="000000"/>
                <w:lang w:val="sr-Latn-BA" w:eastAsia="sr-Latn-BA"/>
              </w:rPr>
            </w:pPr>
            <w:r w:rsidRPr="00620BD3">
              <w:rPr>
                <w:rFonts w:ascii="Calibri" w:hAnsi="Calibri"/>
                <w:b/>
                <w:bCs/>
                <w:color w:val="000000"/>
                <w:lang w:val="sr-Latn-BA" w:eastAsia="sr-Latn-BA"/>
              </w:rPr>
              <w:t>20</w:t>
            </w:r>
            <w:r w:rsidR="00333524">
              <w:rPr>
                <w:rFonts w:ascii="Calibri" w:hAnsi="Calibri"/>
                <w:b/>
                <w:bCs/>
                <w:color w:val="000000"/>
                <w:lang w:val="sr-Latn-BA" w:eastAsia="sr-Latn-BA"/>
              </w:rPr>
              <w:t>2</w:t>
            </w:r>
            <w:r w:rsidR="004D4B92">
              <w:rPr>
                <w:rFonts w:ascii="Calibri" w:hAnsi="Calibri"/>
                <w:b/>
                <w:bCs/>
                <w:color w:val="000000"/>
                <w:lang w:val="sr-Latn-BA" w:eastAsia="sr-Latn-BA"/>
              </w:rPr>
              <w:t>1</w:t>
            </w:r>
          </w:p>
        </w:tc>
        <w:tc>
          <w:tcPr>
            <w:tcW w:w="1020" w:type="dxa"/>
            <w:tcBorders>
              <w:top w:val="nil"/>
              <w:left w:val="nil"/>
              <w:bottom w:val="nil"/>
              <w:right w:val="nil"/>
            </w:tcBorders>
            <w:shd w:val="clear" w:color="000000" w:fill="FFFFFF"/>
            <w:noWrap/>
            <w:vAlign w:val="bottom"/>
            <w:hideMark/>
          </w:tcPr>
          <w:p w:rsidR="00620BD3" w:rsidRPr="00620BD3" w:rsidRDefault="00620BD3" w:rsidP="00620BD3">
            <w:pPr>
              <w:jc w:val="center"/>
              <w:rPr>
                <w:rFonts w:ascii="Calibri" w:hAnsi="Calibri"/>
                <w:b/>
                <w:bCs/>
                <w:color w:val="000000"/>
                <w:lang w:val="sr-Latn-BA" w:eastAsia="sr-Latn-BA"/>
              </w:rPr>
            </w:pPr>
            <w:r w:rsidRPr="00620BD3">
              <w:rPr>
                <w:rFonts w:ascii="Calibri" w:hAnsi="Calibri"/>
                <w:b/>
                <w:bCs/>
                <w:color w:val="000000"/>
                <w:lang w:val="sr-Latn-BA" w:eastAsia="sr-Latn-BA"/>
              </w:rPr>
              <w:t>20</w:t>
            </w:r>
            <w:r w:rsidR="004D4B92">
              <w:rPr>
                <w:rFonts w:ascii="Calibri" w:hAnsi="Calibri"/>
                <w:b/>
                <w:bCs/>
                <w:color w:val="000000"/>
                <w:lang w:val="sr-Latn-BA" w:eastAsia="sr-Latn-BA"/>
              </w:rPr>
              <w:t>20</w:t>
            </w:r>
          </w:p>
        </w:tc>
      </w:tr>
      <w:tr w:rsidR="00620BD3" w:rsidRPr="00620BD3" w:rsidTr="00117CEE">
        <w:trPr>
          <w:trHeight w:val="339"/>
        </w:trPr>
        <w:tc>
          <w:tcPr>
            <w:tcW w:w="5120" w:type="dxa"/>
            <w:tcBorders>
              <w:top w:val="nil"/>
              <w:left w:val="nil"/>
              <w:bottom w:val="nil"/>
              <w:right w:val="nil"/>
            </w:tcBorders>
            <w:shd w:val="clear" w:color="000000" w:fill="FFFFFF"/>
            <w:noWrap/>
            <w:vAlign w:val="bottom"/>
            <w:hideMark/>
          </w:tcPr>
          <w:p w:rsidR="00620BD3" w:rsidRPr="00620BD3" w:rsidRDefault="00620BD3" w:rsidP="007E1727">
            <w:pPr>
              <w:rPr>
                <w:rFonts w:ascii="Calibri" w:hAnsi="Calibri"/>
                <w:lang w:val="sr-Latn-BA" w:eastAsia="sr-Latn-BA"/>
              </w:rPr>
            </w:pPr>
            <w:r w:rsidRPr="00620BD3">
              <w:rPr>
                <w:rFonts w:ascii="Calibri" w:hAnsi="Calibri"/>
                <w:lang w:val="sr-Latn-BA" w:eastAsia="sr-Latn-BA"/>
              </w:rPr>
              <w:t xml:space="preserve">Troškovi </w:t>
            </w:r>
            <w:r w:rsidR="007E1727">
              <w:rPr>
                <w:rFonts w:ascii="Calibri" w:hAnsi="Calibri"/>
                <w:lang w:val="sr-Latn-BA" w:eastAsia="sr-Latn-BA"/>
              </w:rPr>
              <w:t xml:space="preserve">platnog prometa </w:t>
            </w:r>
          </w:p>
        </w:tc>
        <w:tc>
          <w:tcPr>
            <w:tcW w:w="1760" w:type="dxa"/>
            <w:tcBorders>
              <w:top w:val="nil"/>
              <w:left w:val="nil"/>
              <w:bottom w:val="nil"/>
              <w:right w:val="nil"/>
            </w:tcBorders>
            <w:shd w:val="clear" w:color="000000" w:fill="FFFFFF"/>
            <w:noWrap/>
            <w:vAlign w:val="bottom"/>
            <w:hideMark/>
          </w:tcPr>
          <w:p w:rsidR="00620BD3" w:rsidRPr="00620BD3" w:rsidRDefault="00620BD3" w:rsidP="004D4B92">
            <w:pPr>
              <w:jc w:val="right"/>
              <w:rPr>
                <w:rFonts w:ascii="Calibri" w:hAnsi="Calibri"/>
                <w:color w:val="000000"/>
                <w:lang w:val="sr-Latn-BA" w:eastAsia="sr-Latn-BA"/>
              </w:rPr>
            </w:pPr>
            <w:r w:rsidRPr="00620BD3">
              <w:rPr>
                <w:rFonts w:ascii="Calibri" w:hAnsi="Calibri"/>
                <w:color w:val="000000"/>
                <w:lang w:val="sr-Latn-BA" w:eastAsia="sr-Latn-BA"/>
              </w:rPr>
              <w:t xml:space="preserve">         </w:t>
            </w:r>
            <w:r w:rsidR="004D4B92">
              <w:rPr>
                <w:rFonts w:ascii="Calibri" w:hAnsi="Calibri"/>
                <w:color w:val="000000"/>
                <w:lang w:val="sr-Latn-BA" w:eastAsia="sr-Latn-BA"/>
              </w:rPr>
              <w:t>99</w:t>
            </w:r>
            <w:r w:rsidRPr="00620BD3">
              <w:rPr>
                <w:rFonts w:ascii="Calibri" w:hAnsi="Calibri"/>
                <w:color w:val="000000"/>
                <w:lang w:val="sr-Latn-BA" w:eastAsia="sr-Latn-BA"/>
              </w:rPr>
              <w:t xml:space="preserve">    </w:t>
            </w:r>
          </w:p>
        </w:tc>
        <w:tc>
          <w:tcPr>
            <w:tcW w:w="1020" w:type="dxa"/>
            <w:tcBorders>
              <w:top w:val="nil"/>
              <w:left w:val="nil"/>
              <w:bottom w:val="nil"/>
              <w:right w:val="nil"/>
            </w:tcBorders>
            <w:shd w:val="clear" w:color="000000" w:fill="FFFFFF"/>
            <w:vAlign w:val="center"/>
            <w:hideMark/>
          </w:tcPr>
          <w:p w:rsidR="00D35FA7" w:rsidRPr="0020093E" w:rsidRDefault="00333524" w:rsidP="0020093E">
            <w:pPr>
              <w:jc w:val="right"/>
              <w:rPr>
                <w:rFonts w:ascii="Calibri" w:hAnsi="Calibri"/>
                <w:color w:val="000000"/>
                <w:lang w:val="sr-Latn-BA" w:eastAsia="sr-Latn-BA"/>
              </w:rPr>
            </w:pPr>
            <w:r w:rsidRPr="0020093E">
              <w:rPr>
                <w:rFonts w:ascii="Calibri" w:hAnsi="Calibri"/>
                <w:color w:val="000000"/>
                <w:lang w:val="sr-Latn-BA" w:eastAsia="sr-Latn-BA"/>
              </w:rPr>
              <w:t xml:space="preserve">          </w:t>
            </w:r>
            <w:r w:rsidR="007E4A17" w:rsidRPr="0020093E">
              <w:rPr>
                <w:rFonts w:ascii="Calibri" w:hAnsi="Calibri"/>
                <w:color w:val="000000"/>
                <w:lang w:val="sr-Latn-BA" w:eastAsia="sr-Latn-BA"/>
              </w:rPr>
              <w:t xml:space="preserve">  </w:t>
            </w:r>
            <w:r w:rsidR="003016A8" w:rsidRPr="0020093E">
              <w:rPr>
                <w:rFonts w:ascii="Calibri" w:hAnsi="Calibri"/>
                <w:color w:val="000000"/>
                <w:lang w:val="sr-Latn-BA" w:eastAsia="sr-Latn-BA"/>
              </w:rPr>
              <w:t xml:space="preserve"> </w:t>
            </w:r>
            <w:r w:rsidR="0020093E" w:rsidRPr="0020093E">
              <w:rPr>
                <w:rFonts w:ascii="Calibri" w:hAnsi="Calibri"/>
                <w:color w:val="000000"/>
                <w:lang w:val="sr-Latn-BA" w:eastAsia="sr-Latn-BA"/>
              </w:rPr>
              <w:t>75</w:t>
            </w:r>
            <w:r w:rsidR="00620BD3" w:rsidRPr="0020093E">
              <w:rPr>
                <w:rFonts w:ascii="Calibri" w:hAnsi="Calibri"/>
                <w:color w:val="000000"/>
                <w:lang w:val="sr-Latn-BA" w:eastAsia="sr-Latn-BA"/>
              </w:rPr>
              <w:t> </w:t>
            </w:r>
          </w:p>
        </w:tc>
      </w:tr>
      <w:tr w:rsidR="007E1727" w:rsidRPr="00620BD3" w:rsidTr="0078483D">
        <w:trPr>
          <w:trHeight w:val="310"/>
        </w:trPr>
        <w:tc>
          <w:tcPr>
            <w:tcW w:w="5120" w:type="dxa"/>
            <w:tcBorders>
              <w:top w:val="nil"/>
              <w:left w:val="nil"/>
              <w:bottom w:val="nil"/>
              <w:right w:val="nil"/>
            </w:tcBorders>
            <w:shd w:val="clear" w:color="000000" w:fill="FFFFFF"/>
            <w:noWrap/>
            <w:vAlign w:val="bottom"/>
            <w:hideMark/>
          </w:tcPr>
          <w:p w:rsidR="007E1727" w:rsidRPr="00620BD3" w:rsidRDefault="007E1727" w:rsidP="007E1727">
            <w:pPr>
              <w:rPr>
                <w:rFonts w:ascii="Calibri" w:hAnsi="Calibri"/>
                <w:lang w:val="sr-Latn-BA" w:eastAsia="sr-Latn-BA"/>
              </w:rPr>
            </w:pPr>
            <w:r w:rsidRPr="00620BD3">
              <w:rPr>
                <w:rFonts w:ascii="Calibri" w:hAnsi="Calibri"/>
                <w:lang w:val="sr-Latn-BA" w:eastAsia="sr-Latn-BA"/>
              </w:rPr>
              <w:t xml:space="preserve">Troškovi </w:t>
            </w:r>
            <w:r>
              <w:rPr>
                <w:rFonts w:ascii="Calibri" w:hAnsi="Calibri"/>
                <w:lang w:val="sr-Latn-BA" w:eastAsia="sr-Latn-BA"/>
              </w:rPr>
              <w:t xml:space="preserve">Komisije za HOV RS </w:t>
            </w:r>
          </w:p>
        </w:tc>
        <w:tc>
          <w:tcPr>
            <w:tcW w:w="1760" w:type="dxa"/>
            <w:tcBorders>
              <w:top w:val="nil"/>
              <w:left w:val="nil"/>
              <w:bottom w:val="nil"/>
              <w:right w:val="nil"/>
            </w:tcBorders>
            <w:shd w:val="clear" w:color="000000" w:fill="FFFFFF"/>
            <w:noWrap/>
            <w:vAlign w:val="bottom"/>
            <w:hideMark/>
          </w:tcPr>
          <w:p w:rsidR="007E1727" w:rsidRPr="00620BD3" w:rsidRDefault="007E1727" w:rsidP="004D4B92">
            <w:pPr>
              <w:jc w:val="right"/>
              <w:rPr>
                <w:rFonts w:ascii="Calibri" w:hAnsi="Calibri"/>
                <w:color w:val="000000"/>
                <w:lang w:val="sr-Latn-BA" w:eastAsia="sr-Latn-BA"/>
              </w:rPr>
            </w:pPr>
            <w:r w:rsidRPr="00620BD3">
              <w:rPr>
                <w:rFonts w:ascii="Calibri" w:hAnsi="Calibri"/>
                <w:color w:val="000000"/>
                <w:lang w:val="sr-Latn-BA" w:eastAsia="sr-Latn-BA"/>
              </w:rPr>
              <w:t xml:space="preserve">          </w:t>
            </w:r>
            <w:r w:rsidR="00B26721">
              <w:rPr>
                <w:rFonts w:ascii="Calibri" w:hAnsi="Calibri"/>
                <w:color w:val="000000"/>
                <w:lang w:val="sr-Latn-BA" w:eastAsia="sr-Latn-BA"/>
              </w:rPr>
              <w:t xml:space="preserve">  </w:t>
            </w:r>
            <w:r w:rsidR="004D4B92">
              <w:rPr>
                <w:rFonts w:ascii="Calibri" w:hAnsi="Calibri"/>
                <w:color w:val="000000"/>
                <w:lang w:val="sr-Latn-BA" w:eastAsia="sr-Latn-BA"/>
              </w:rPr>
              <w:t>54</w:t>
            </w:r>
            <w:r w:rsidRPr="00620BD3">
              <w:rPr>
                <w:rFonts w:ascii="Calibri" w:hAnsi="Calibri"/>
                <w:color w:val="000000"/>
                <w:lang w:val="sr-Latn-BA" w:eastAsia="sr-Latn-BA"/>
              </w:rPr>
              <w:t xml:space="preserve">    </w:t>
            </w:r>
          </w:p>
        </w:tc>
        <w:tc>
          <w:tcPr>
            <w:tcW w:w="1020" w:type="dxa"/>
            <w:tcBorders>
              <w:top w:val="nil"/>
              <w:left w:val="nil"/>
              <w:bottom w:val="nil"/>
              <w:right w:val="nil"/>
            </w:tcBorders>
            <w:shd w:val="clear" w:color="000000" w:fill="FFFFFF"/>
            <w:vAlign w:val="center"/>
            <w:hideMark/>
          </w:tcPr>
          <w:p w:rsidR="007E1727" w:rsidRPr="0020093E" w:rsidRDefault="007E4A17" w:rsidP="003016A8">
            <w:pPr>
              <w:jc w:val="right"/>
              <w:rPr>
                <w:rFonts w:ascii="Calibri" w:hAnsi="Calibri"/>
                <w:color w:val="000000"/>
                <w:lang w:val="sr-Latn-BA" w:eastAsia="sr-Latn-BA"/>
              </w:rPr>
            </w:pPr>
            <w:r w:rsidRPr="0020093E">
              <w:rPr>
                <w:rFonts w:ascii="Calibri" w:hAnsi="Calibri"/>
                <w:color w:val="000000"/>
                <w:lang w:val="sr-Latn-BA" w:eastAsia="sr-Latn-BA"/>
              </w:rPr>
              <w:t xml:space="preserve">     </w:t>
            </w:r>
            <w:r w:rsidR="0020093E" w:rsidRPr="0020093E">
              <w:rPr>
                <w:rFonts w:ascii="Calibri" w:hAnsi="Calibri"/>
                <w:color w:val="000000"/>
                <w:lang w:val="sr-Latn-BA" w:eastAsia="sr-Latn-BA"/>
              </w:rPr>
              <w:t>0</w:t>
            </w:r>
          </w:p>
        </w:tc>
      </w:tr>
      <w:tr w:rsidR="007E1727" w:rsidRPr="00620BD3" w:rsidTr="0078483D">
        <w:trPr>
          <w:trHeight w:val="310"/>
        </w:trPr>
        <w:tc>
          <w:tcPr>
            <w:tcW w:w="5120" w:type="dxa"/>
            <w:tcBorders>
              <w:top w:val="nil"/>
              <w:left w:val="nil"/>
              <w:bottom w:val="nil"/>
              <w:right w:val="nil"/>
            </w:tcBorders>
            <w:shd w:val="clear" w:color="000000" w:fill="FFFFFF"/>
            <w:noWrap/>
            <w:vAlign w:val="bottom"/>
            <w:hideMark/>
          </w:tcPr>
          <w:p w:rsidR="007E1727" w:rsidRPr="00620BD3" w:rsidRDefault="0020093E" w:rsidP="007E1727">
            <w:pPr>
              <w:rPr>
                <w:rFonts w:ascii="Calibri" w:hAnsi="Calibri"/>
                <w:lang w:val="sr-Latn-BA" w:eastAsia="sr-Latn-BA"/>
              </w:rPr>
            </w:pPr>
            <w:r>
              <w:rPr>
                <w:rFonts w:ascii="Calibri" w:hAnsi="Calibri"/>
                <w:lang w:val="sr-Latn-BA" w:eastAsia="sr-Latn-BA"/>
              </w:rPr>
              <w:t xml:space="preserve"> </w:t>
            </w:r>
            <w:r w:rsidR="007E1727" w:rsidRPr="00620BD3">
              <w:rPr>
                <w:rFonts w:ascii="Calibri" w:hAnsi="Calibri"/>
                <w:lang w:val="sr-Latn-BA" w:eastAsia="sr-Latn-BA"/>
              </w:rPr>
              <w:t xml:space="preserve">Troškovi </w:t>
            </w:r>
            <w:r w:rsidR="007E1727">
              <w:rPr>
                <w:rFonts w:ascii="Calibri" w:hAnsi="Calibri"/>
                <w:lang w:val="sr-Latn-BA" w:eastAsia="sr-Latn-BA"/>
              </w:rPr>
              <w:t xml:space="preserve">vođenja registra udjela  </w:t>
            </w:r>
          </w:p>
        </w:tc>
        <w:tc>
          <w:tcPr>
            <w:tcW w:w="1760" w:type="dxa"/>
            <w:tcBorders>
              <w:top w:val="nil"/>
              <w:left w:val="nil"/>
              <w:bottom w:val="nil"/>
              <w:right w:val="nil"/>
            </w:tcBorders>
            <w:shd w:val="clear" w:color="000000" w:fill="FFFFFF"/>
            <w:noWrap/>
            <w:vAlign w:val="bottom"/>
            <w:hideMark/>
          </w:tcPr>
          <w:p w:rsidR="007E1727" w:rsidRPr="00620BD3" w:rsidRDefault="0020093E" w:rsidP="004D4B92">
            <w:pPr>
              <w:jc w:val="right"/>
              <w:rPr>
                <w:rFonts w:ascii="Calibri" w:hAnsi="Calibri"/>
                <w:color w:val="000000"/>
                <w:lang w:val="sr-Latn-BA" w:eastAsia="sr-Latn-BA"/>
              </w:rPr>
            </w:pPr>
            <w:r>
              <w:rPr>
                <w:rFonts w:ascii="Calibri" w:hAnsi="Calibri"/>
                <w:color w:val="000000"/>
                <w:lang w:val="sr-Latn-BA" w:eastAsia="sr-Latn-BA"/>
              </w:rPr>
              <w:t xml:space="preserve">   </w:t>
            </w:r>
            <w:r w:rsidR="00AF113C">
              <w:rPr>
                <w:rFonts w:ascii="Calibri" w:hAnsi="Calibri"/>
                <w:color w:val="000000"/>
                <w:lang w:val="sr-Latn-BA" w:eastAsia="sr-Latn-BA"/>
              </w:rPr>
              <w:t xml:space="preserve"> </w:t>
            </w:r>
            <w:r w:rsidR="004D4B92">
              <w:rPr>
                <w:rFonts w:ascii="Calibri" w:hAnsi="Calibri"/>
                <w:color w:val="000000"/>
                <w:lang w:val="sr-Latn-BA" w:eastAsia="sr-Latn-BA"/>
              </w:rPr>
              <w:t>662</w:t>
            </w:r>
          </w:p>
        </w:tc>
        <w:tc>
          <w:tcPr>
            <w:tcW w:w="1020" w:type="dxa"/>
            <w:tcBorders>
              <w:top w:val="nil"/>
              <w:left w:val="nil"/>
              <w:bottom w:val="nil"/>
              <w:right w:val="nil"/>
            </w:tcBorders>
            <w:shd w:val="clear" w:color="000000" w:fill="FFFFFF"/>
            <w:vAlign w:val="center"/>
            <w:hideMark/>
          </w:tcPr>
          <w:p w:rsidR="007E1727" w:rsidRPr="0020093E" w:rsidRDefault="0020093E" w:rsidP="003016A8">
            <w:pPr>
              <w:jc w:val="right"/>
              <w:rPr>
                <w:rFonts w:ascii="Calibri" w:hAnsi="Calibri"/>
                <w:color w:val="000000"/>
                <w:lang w:val="sr-Latn-BA" w:eastAsia="sr-Latn-BA"/>
              </w:rPr>
            </w:pPr>
            <w:r w:rsidRPr="0020093E">
              <w:rPr>
                <w:rFonts w:ascii="Calibri" w:hAnsi="Calibri"/>
                <w:color w:val="000000"/>
                <w:lang w:val="sr-Latn-BA" w:eastAsia="sr-Latn-BA"/>
              </w:rPr>
              <w:t xml:space="preserve">       787</w:t>
            </w:r>
          </w:p>
        </w:tc>
      </w:tr>
      <w:tr w:rsidR="00F433A9" w:rsidRPr="00620BD3" w:rsidTr="0078483D">
        <w:trPr>
          <w:trHeight w:val="310"/>
        </w:trPr>
        <w:tc>
          <w:tcPr>
            <w:tcW w:w="5120" w:type="dxa"/>
            <w:tcBorders>
              <w:top w:val="nil"/>
              <w:left w:val="nil"/>
              <w:bottom w:val="nil"/>
              <w:right w:val="nil"/>
            </w:tcBorders>
            <w:shd w:val="clear" w:color="000000" w:fill="FFFFFF"/>
            <w:noWrap/>
            <w:vAlign w:val="bottom"/>
            <w:hideMark/>
          </w:tcPr>
          <w:p w:rsidR="00F433A9" w:rsidRPr="00620BD3" w:rsidRDefault="00F433A9" w:rsidP="00F433A9">
            <w:pPr>
              <w:rPr>
                <w:rFonts w:ascii="Calibri" w:hAnsi="Calibri"/>
                <w:lang w:val="sr-Latn-BA" w:eastAsia="sr-Latn-BA"/>
              </w:rPr>
            </w:pPr>
            <w:r w:rsidRPr="00620BD3">
              <w:rPr>
                <w:rFonts w:ascii="Calibri" w:hAnsi="Calibri"/>
                <w:lang w:val="sr-Latn-BA" w:eastAsia="sr-Latn-BA"/>
              </w:rPr>
              <w:t xml:space="preserve">Troškovi </w:t>
            </w:r>
            <w:r>
              <w:rPr>
                <w:rFonts w:ascii="Calibri" w:hAnsi="Calibri"/>
                <w:lang w:val="sr-Latn-BA" w:eastAsia="sr-Latn-BA"/>
              </w:rPr>
              <w:t xml:space="preserve">berze   </w:t>
            </w:r>
          </w:p>
        </w:tc>
        <w:tc>
          <w:tcPr>
            <w:tcW w:w="1760" w:type="dxa"/>
            <w:tcBorders>
              <w:top w:val="nil"/>
              <w:left w:val="nil"/>
              <w:bottom w:val="nil"/>
              <w:right w:val="nil"/>
            </w:tcBorders>
            <w:shd w:val="clear" w:color="000000" w:fill="FFFFFF"/>
            <w:noWrap/>
            <w:vAlign w:val="bottom"/>
            <w:hideMark/>
          </w:tcPr>
          <w:p w:rsidR="00F433A9" w:rsidRPr="00620BD3" w:rsidRDefault="00F433A9" w:rsidP="004D4B92">
            <w:pPr>
              <w:jc w:val="right"/>
              <w:rPr>
                <w:rFonts w:ascii="Calibri" w:hAnsi="Calibri"/>
                <w:color w:val="000000"/>
                <w:lang w:val="sr-Latn-BA" w:eastAsia="sr-Latn-BA"/>
              </w:rPr>
            </w:pPr>
            <w:r>
              <w:rPr>
                <w:rFonts w:ascii="Calibri" w:hAnsi="Calibri"/>
                <w:color w:val="000000"/>
                <w:lang w:val="sr-Latn-BA" w:eastAsia="sr-Latn-BA"/>
              </w:rPr>
              <w:t xml:space="preserve">       </w:t>
            </w:r>
            <w:r w:rsidR="004041BF">
              <w:rPr>
                <w:rFonts w:ascii="Calibri" w:hAnsi="Calibri"/>
                <w:color w:val="000000"/>
                <w:lang w:val="sr-Latn-BA" w:eastAsia="sr-Latn-BA"/>
              </w:rPr>
              <w:t xml:space="preserve">  </w:t>
            </w:r>
            <w:r w:rsidR="004D4B92">
              <w:rPr>
                <w:rFonts w:ascii="Calibri" w:hAnsi="Calibri"/>
                <w:color w:val="000000"/>
                <w:lang w:val="sr-Latn-BA" w:eastAsia="sr-Latn-BA"/>
              </w:rPr>
              <w:t>0</w:t>
            </w:r>
            <w:r w:rsidRPr="00620BD3">
              <w:rPr>
                <w:rFonts w:ascii="Calibri" w:hAnsi="Calibri"/>
                <w:color w:val="000000"/>
                <w:lang w:val="sr-Latn-BA" w:eastAsia="sr-Latn-BA"/>
              </w:rPr>
              <w:t xml:space="preserve">    </w:t>
            </w:r>
          </w:p>
        </w:tc>
        <w:tc>
          <w:tcPr>
            <w:tcW w:w="1020" w:type="dxa"/>
            <w:tcBorders>
              <w:top w:val="nil"/>
              <w:left w:val="nil"/>
              <w:bottom w:val="nil"/>
              <w:right w:val="nil"/>
            </w:tcBorders>
            <w:shd w:val="clear" w:color="000000" w:fill="FFFFFF"/>
            <w:vAlign w:val="center"/>
            <w:hideMark/>
          </w:tcPr>
          <w:p w:rsidR="00F433A9" w:rsidRPr="0020093E" w:rsidRDefault="0020093E" w:rsidP="003016A8">
            <w:pPr>
              <w:jc w:val="right"/>
              <w:rPr>
                <w:rFonts w:ascii="Calibri" w:hAnsi="Calibri"/>
                <w:color w:val="000000"/>
                <w:lang w:val="sr-Latn-BA" w:eastAsia="sr-Latn-BA"/>
              </w:rPr>
            </w:pPr>
            <w:r>
              <w:rPr>
                <w:rFonts w:ascii="Calibri" w:hAnsi="Calibri"/>
                <w:color w:val="000000"/>
                <w:lang w:val="sr-Latn-BA" w:eastAsia="sr-Latn-BA"/>
              </w:rPr>
              <w:t>250</w:t>
            </w:r>
          </w:p>
        </w:tc>
      </w:tr>
      <w:tr w:rsidR="004041BF" w:rsidRPr="00620BD3" w:rsidTr="003F53CA">
        <w:trPr>
          <w:trHeight w:val="310"/>
        </w:trPr>
        <w:tc>
          <w:tcPr>
            <w:tcW w:w="5120" w:type="dxa"/>
            <w:tcBorders>
              <w:top w:val="nil"/>
              <w:left w:val="nil"/>
              <w:bottom w:val="nil"/>
              <w:right w:val="nil"/>
            </w:tcBorders>
            <w:shd w:val="clear" w:color="000000" w:fill="FFFFFF"/>
            <w:noWrap/>
            <w:vAlign w:val="bottom"/>
            <w:hideMark/>
          </w:tcPr>
          <w:p w:rsidR="004041BF" w:rsidRPr="00620BD3" w:rsidRDefault="004041BF" w:rsidP="004041BF">
            <w:pPr>
              <w:rPr>
                <w:rFonts w:ascii="Calibri" w:hAnsi="Calibri"/>
                <w:lang w:val="sr-Latn-BA" w:eastAsia="sr-Latn-BA"/>
              </w:rPr>
            </w:pPr>
            <w:r w:rsidRPr="00620BD3">
              <w:rPr>
                <w:rFonts w:ascii="Calibri" w:hAnsi="Calibri"/>
                <w:lang w:val="sr-Latn-BA" w:eastAsia="sr-Latn-BA"/>
              </w:rPr>
              <w:t xml:space="preserve">Troškovi </w:t>
            </w:r>
            <w:r>
              <w:rPr>
                <w:rFonts w:ascii="Calibri" w:hAnsi="Calibri"/>
                <w:lang w:val="sr-Latn-BA" w:eastAsia="sr-Latn-BA"/>
              </w:rPr>
              <w:t xml:space="preserve">eksterne revizije  </w:t>
            </w:r>
          </w:p>
        </w:tc>
        <w:tc>
          <w:tcPr>
            <w:tcW w:w="1760" w:type="dxa"/>
            <w:tcBorders>
              <w:top w:val="nil"/>
              <w:left w:val="nil"/>
              <w:bottom w:val="nil"/>
              <w:right w:val="nil"/>
            </w:tcBorders>
            <w:shd w:val="clear" w:color="000000" w:fill="FFFFFF"/>
            <w:noWrap/>
            <w:vAlign w:val="bottom"/>
            <w:hideMark/>
          </w:tcPr>
          <w:p w:rsidR="004041BF" w:rsidRPr="00620BD3" w:rsidRDefault="004041BF" w:rsidP="00333524">
            <w:pPr>
              <w:jc w:val="right"/>
              <w:rPr>
                <w:rFonts w:ascii="Calibri" w:hAnsi="Calibri"/>
                <w:color w:val="000000"/>
                <w:lang w:val="sr-Latn-BA" w:eastAsia="sr-Latn-BA"/>
              </w:rPr>
            </w:pPr>
            <w:r>
              <w:rPr>
                <w:rFonts w:ascii="Calibri" w:hAnsi="Calibri"/>
                <w:color w:val="000000"/>
                <w:lang w:val="sr-Latn-BA" w:eastAsia="sr-Latn-BA"/>
              </w:rPr>
              <w:t xml:space="preserve">       1.</w:t>
            </w:r>
            <w:r w:rsidR="00333524">
              <w:rPr>
                <w:rFonts w:ascii="Calibri" w:hAnsi="Calibri"/>
                <w:color w:val="000000"/>
                <w:lang w:val="sr-Latn-BA" w:eastAsia="sr-Latn-BA"/>
              </w:rPr>
              <w:t>755</w:t>
            </w:r>
            <w:r w:rsidRPr="00620BD3">
              <w:rPr>
                <w:rFonts w:ascii="Calibri" w:hAnsi="Calibri"/>
                <w:color w:val="000000"/>
                <w:lang w:val="sr-Latn-BA" w:eastAsia="sr-Latn-BA"/>
              </w:rPr>
              <w:t xml:space="preserve">    </w:t>
            </w:r>
          </w:p>
        </w:tc>
        <w:tc>
          <w:tcPr>
            <w:tcW w:w="1020" w:type="dxa"/>
            <w:tcBorders>
              <w:top w:val="nil"/>
              <w:left w:val="nil"/>
              <w:bottom w:val="nil"/>
              <w:right w:val="nil"/>
            </w:tcBorders>
            <w:shd w:val="clear" w:color="000000" w:fill="FFFFFF"/>
            <w:vAlign w:val="center"/>
            <w:hideMark/>
          </w:tcPr>
          <w:p w:rsidR="004041BF" w:rsidRPr="0020093E" w:rsidRDefault="0020093E" w:rsidP="003016A8">
            <w:pPr>
              <w:jc w:val="right"/>
              <w:rPr>
                <w:rFonts w:ascii="Calibri" w:hAnsi="Calibri"/>
                <w:color w:val="000000"/>
                <w:lang w:val="sr-Latn-BA" w:eastAsia="sr-Latn-BA"/>
              </w:rPr>
            </w:pPr>
            <w:r w:rsidRPr="0020093E">
              <w:rPr>
                <w:rFonts w:ascii="Calibri" w:hAnsi="Calibri"/>
                <w:color w:val="000000"/>
                <w:lang w:val="sr-Latn-BA" w:eastAsia="sr-Latn-BA"/>
              </w:rPr>
              <w:t>0</w:t>
            </w:r>
            <w:r w:rsidR="004041BF" w:rsidRPr="0020093E">
              <w:rPr>
                <w:rFonts w:ascii="Calibri" w:hAnsi="Calibri"/>
                <w:color w:val="000000"/>
                <w:lang w:val="sr-Latn-BA" w:eastAsia="sr-Latn-BA"/>
              </w:rPr>
              <w:t> </w:t>
            </w:r>
          </w:p>
        </w:tc>
      </w:tr>
      <w:tr w:rsidR="00620BD3" w:rsidRPr="00620BD3" w:rsidTr="00620BD3">
        <w:trPr>
          <w:trHeight w:val="370"/>
        </w:trPr>
        <w:tc>
          <w:tcPr>
            <w:tcW w:w="5120" w:type="dxa"/>
            <w:tcBorders>
              <w:top w:val="nil"/>
              <w:left w:val="nil"/>
              <w:bottom w:val="nil"/>
              <w:right w:val="nil"/>
            </w:tcBorders>
            <w:shd w:val="clear" w:color="000000" w:fill="FFFFFF"/>
            <w:noWrap/>
            <w:vAlign w:val="bottom"/>
            <w:hideMark/>
          </w:tcPr>
          <w:p w:rsidR="00620BD3" w:rsidRPr="00620BD3" w:rsidRDefault="00620BD3" w:rsidP="00620BD3">
            <w:pPr>
              <w:rPr>
                <w:rFonts w:ascii="Calibri" w:hAnsi="Calibri"/>
                <w:b/>
                <w:bCs/>
                <w:lang w:val="sr-Latn-BA" w:eastAsia="sr-Latn-BA"/>
              </w:rPr>
            </w:pPr>
            <w:r w:rsidRPr="00620BD3">
              <w:rPr>
                <w:rFonts w:ascii="Calibri" w:hAnsi="Calibri"/>
                <w:b/>
                <w:bCs/>
                <w:lang w:val="sr-Latn-BA" w:eastAsia="sr-Latn-BA"/>
              </w:rPr>
              <w:t>Za godinu koja se završi</w:t>
            </w:r>
            <w:r w:rsidR="004D4B92">
              <w:rPr>
                <w:rFonts w:ascii="Calibri" w:hAnsi="Calibri"/>
                <w:b/>
                <w:bCs/>
                <w:lang w:val="sr-Latn-BA" w:eastAsia="sr-Latn-BA"/>
              </w:rPr>
              <w:t>la 31.03.2021</w:t>
            </w:r>
            <w:r w:rsidRPr="00620BD3">
              <w:rPr>
                <w:rFonts w:ascii="Calibri" w:hAnsi="Calibri"/>
                <w:b/>
                <w:bCs/>
                <w:lang w:val="sr-Latn-BA" w:eastAsia="sr-Latn-BA"/>
              </w:rPr>
              <w:t>.</w:t>
            </w:r>
          </w:p>
        </w:tc>
        <w:tc>
          <w:tcPr>
            <w:tcW w:w="1760" w:type="dxa"/>
            <w:tcBorders>
              <w:top w:val="nil"/>
              <w:left w:val="nil"/>
              <w:bottom w:val="nil"/>
              <w:right w:val="nil"/>
            </w:tcBorders>
            <w:shd w:val="clear" w:color="000000" w:fill="FFFFFF"/>
            <w:noWrap/>
            <w:vAlign w:val="bottom"/>
            <w:hideMark/>
          </w:tcPr>
          <w:p w:rsidR="00620BD3" w:rsidRPr="004041BF" w:rsidRDefault="004D4B92" w:rsidP="004041BF">
            <w:pPr>
              <w:jc w:val="right"/>
              <w:rPr>
                <w:rFonts w:ascii="Calibri" w:hAnsi="Calibri"/>
                <w:b/>
                <w:color w:val="000000"/>
                <w:u w:val="single"/>
                <w:lang w:val="sr-Latn-BA" w:eastAsia="sr-Latn-BA"/>
              </w:rPr>
            </w:pPr>
            <w:r>
              <w:rPr>
                <w:rFonts w:ascii="Calibri" w:hAnsi="Calibri"/>
                <w:b/>
                <w:color w:val="000000"/>
                <w:u w:val="single"/>
                <w:lang w:val="sr-Latn-BA" w:eastAsia="sr-Latn-BA"/>
              </w:rPr>
              <w:t>2.570</w:t>
            </w:r>
            <w:r w:rsidR="00620BD3" w:rsidRPr="004041BF">
              <w:rPr>
                <w:rFonts w:ascii="Calibri" w:hAnsi="Calibri"/>
                <w:b/>
                <w:color w:val="000000"/>
                <w:u w:val="single"/>
                <w:lang w:val="sr-Latn-BA" w:eastAsia="sr-Latn-BA"/>
              </w:rPr>
              <w:t xml:space="preserve">    </w:t>
            </w:r>
          </w:p>
        </w:tc>
        <w:tc>
          <w:tcPr>
            <w:tcW w:w="1020" w:type="dxa"/>
            <w:tcBorders>
              <w:top w:val="nil"/>
              <w:left w:val="nil"/>
              <w:bottom w:val="nil"/>
              <w:right w:val="nil"/>
            </w:tcBorders>
            <w:shd w:val="clear" w:color="000000" w:fill="FFFFFF"/>
            <w:noWrap/>
            <w:vAlign w:val="bottom"/>
            <w:hideMark/>
          </w:tcPr>
          <w:p w:rsidR="00620BD3" w:rsidRPr="0020093E" w:rsidRDefault="0020093E" w:rsidP="004041BF">
            <w:pPr>
              <w:jc w:val="right"/>
              <w:rPr>
                <w:rFonts w:ascii="Calibri" w:hAnsi="Calibri"/>
                <w:color w:val="000000"/>
                <w:u w:val="single"/>
                <w:lang w:val="sr-Latn-BA" w:eastAsia="sr-Latn-BA"/>
              </w:rPr>
            </w:pPr>
            <w:r w:rsidRPr="0020093E">
              <w:rPr>
                <w:rFonts w:ascii="Calibri" w:hAnsi="Calibri"/>
                <w:b/>
                <w:color w:val="000000"/>
                <w:u w:val="single"/>
                <w:lang w:val="sr-Latn-BA" w:eastAsia="sr-Latn-BA"/>
              </w:rPr>
              <w:t>1.174</w:t>
            </w:r>
            <w:r w:rsidR="00333524" w:rsidRPr="0020093E">
              <w:rPr>
                <w:rFonts w:ascii="Calibri" w:hAnsi="Calibri"/>
                <w:b/>
                <w:color w:val="000000"/>
                <w:u w:val="single"/>
                <w:lang w:val="sr-Latn-BA" w:eastAsia="sr-Latn-BA"/>
              </w:rPr>
              <w:t xml:space="preserve">    </w:t>
            </w:r>
          </w:p>
        </w:tc>
      </w:tr>
    </w:tbl>
    <w:p w:rsidR="0082756B" w:rsidRDefault="0082756B" w:rsidP="0082756B">
      <w:pPr>
        <w:rPr>
          <w:lang w:val="sr-Latn-CS"/>
        </w:rPr>
      </w:pPr>
    </w:p>
    <w:p w:rsidR="0082756B" w:rsidRPr="00A47E7E" w:rsidRDefault="0082756B" w:rsidP="00A9646E">
      <w:pPr>
        <w:pStyle w:val="ListParagraph"/>
        <w:tabs>
          <w:tab w:val="left" w:pos="-1440"/>
          <w:tab w:val="left" w:pos="-720"/>
        </w:tabs>
        <w:ind w:left="0"/>
        <w:rPr>
          <w:rFonts w:ascii="Calibri" w:hAnsi="Calibri" w:cs="Calibri"/>
          <w:noProof/>
          <w:sz w:val="20"/>
          <w:lang w:val="sr-Latn-CS"/>
        </w:rPr>
      </w:pPr>
    </w:p>
    <w:p w:rsidR="00A9646E" w:rsidRPr="00A47E7E" w:rsidRDefault="00A9646E" w:rsidP="00952D10">
      <w:pPr>
        <w:pStyle w:val="ListParagraph"/>
        <w:tabs>
          <w:tab w:val="left" w:pos="-1440"/>
          <w:tab w:val="left" w:pos="-720"/>
        </w:tabs>
        <w:rPr>
          <w:rFonts w:ascii="Calibri" w:hAnsi="Calibri" w:cs="Calibri"/>
          <w:b/>
          <w:noProof/>
          <w:sz w:val="20"/>
          <w:lang w:val="sr-Latn-CS"/>
        </w:rPr>
      </w:pPr>
    </w:p>
    <w:p w:rsidR="00A9646E" w:rsidRPr="00A47E7E" w:rsidRDefault="00A9646E" w:rsidP="00F014B7">
      <w:pPr>
        <w:pStyle w:val="Heading1"/>
        <w:rPr>
          <w:rFonts w:ascii="Calibri" w:hAnsi="Calibri" w:cs="Calibri"/>
          <w:noProof/>
          <w:sz w:val="24"/>
          <w:szCs w:val="24"/>
        </w:rPr>
      </w:pPr>
      <w:bookmarkStart w:id="22" w:name="_Toc64534450"/>
      <w:r w:rsidRPr="00A47E7E">
        <w:rPr>
          <w:rFonts w:ascii="Calibri" w:hAnsi="Calibri" w:cs="Calibri"/>
          <w:noProof/>
          <w:sz w:val="24"/>
          <w:szCs w:val="24"/>
        </w:rPr>
        <w:lastRenderedPageBreak/>
        <w:t>POREZ NA DOBITAK</w:t>
      </w:r>
      <w:bookmarkEnd w:id="22"/>
    </w:p>
    <w:p w:rsidR="0065582F" w:rsidRPr="00A47E7E" w:rsidRDefault="0065582F" w:rsidP="0065582F">
      <w:pPr>
        <w:tabs>
          <w:tab w:val="left" w:pos="-1440"/>
          <w:tab w:val="left" w:pos="-720"/>
          <w:tab w:val="left" w:pos="889"/>
          <w:tab w:val="left" w:pos="1231"/>
          <w:tab w:val="right" w:pos="8960"/>
        </w:tabs>
        <w:rPr>
          <w:rFonts w:ascii="Calibri" w:hAnsi="Calibri" w:cs="Calibri"/>
          <w:noProof/>
        </w:rPr>
      </w:pPr>
      <w:r w:rsidRPr="00A47E7E">
        <w:rPr>
          <w:rFonts w:ascii="Calibri" w:hAnsi="Calibri" w:cs="Calibri"/>
          <w:noProof/>
        </w:rPr>
        <w:t>Prema Zakonu o porezu na dobit Republike Srpske Fond nije obveznik Zakona o porezu na dobit.</w:t>
      </w:r>
    </w:p>
    <w:p w:rsidR="00D14AE6" w:rsidRPr="00A47E7E" w:rsidRDefault="00D14AE6" w:rsidP="00952D10">
      <w:pPr>
        <w:pStyle w:val="ListParagraph"/>
        <w:tabs>
          <w:tab w:val="left" w:pos="-1440"/>
          <w:tab w:val="left" w:pos="-720"/>
        </w:tabs>
        <w:rPr>
          <w:rFonts w:ascii="Calibri" w:hAnsi="Calibri" w:cs="Calibri"/>
          <w:b/>
          <w:noProof/>
          <w:sz w:val="20"/>
          <w:lang w:val="sr-Latn-CS"/>
        </w:rPr>
      </w:pPr>
    </w:p>
    <w:p w:rsidR="00A9646E" w:rsidRPr="00A47E7E" w:rsidRDefault="00A9646E" w:rsidP="00B64A52">
      <w:pPr>
        <w:pStyle w:val="Heading1"/>
        <w:rPr>
          <w:rFonts w:ascii="Calibri" w:hAnsi="Calibri" w:cs="Calibri"/>
          <w:noProof/>
          <w:sz w:val="24"/>
          <w:szCs w:val="24"/>
        </w:rPr>
      </w:pPr>
      <w:bookmarkStart w:id="23" w:name="_Toc64534451"/>
      <w:r w:rsidRPr="00A47E7E">
        <w:rPr>
          <w:rFonts w:ascii="Calibri" w:hAnsi="Calibri" w:cs="Calibri"/>
          <w:noProof/>
          <w:sz w:val="24"/>
          <w:szCs w:val="24"/>
        </w:rPr>
        <w:t>GOTOVINA</w:t>
      </w:r>
      <w:bookmarkEnd w:id="23"/>
    </w:p>
    <w:tbl>
      <w:tblPr>
        <w:tblW w:w="9660" w:type="dxa"/>
        <w:tblInd w:w="99" w:type="dxa"/>
        <w:tblLook w:val="04A0" w:firstRow="1" w:lastRow="0" w:firstColumn="1" w:lastColumn="0" w:noHBand="0" w:noVBand="1"/>
      </w:tblPr>
      <w:tblGrid>
        <w:gridCol w:w="5580"/>
        <w:gridCol w:w="2040"/>
        <w:gridCol w:w="2040"/>
      </w:tblGrid>
      <w:tr w:rsidR="008020B2" w:rsidRPr="008020B2" w:rsidTr="008020B2">
        <w:trPr>
          <w:trHeight w:val="310"/>
        </w:trPr>
        <w:tc>
          <w:tcPr>
            <w:tcW w:w="5580" w:type="dxa"/>
            <w:tcBorders>
              <w:top w:val="nil"/>
              <w:left w:val="nil"/>
              <w:bottom w:val="nil"/>
              <w:right w:val="nil"/>
            </w:tcBorders>
            <w:shd w:val="clear" w:color="000000" w:fill="FFFFFF"/>
            <w:noWrap/>
            <w:vAlign w:val="bottom"/>
            <w:hideMark/>
          </w:tcPr>
          <w:p w:rsidR="008020B2" w:rsidRPr="008020B2" w:rsidRDefault="008020B2" w:rsidP="008020B2">
            <w:pPr>
              <w:rPr>
                <w:rFonts w:ascii="Calibri" w:hAnsi="Calibri"/>
                <w:color w:val="000000"/>
                <w:lang w:val="sr-Latn-BA" w:eastAsia="sr-Latn-BA"/>
              </w:rPr>
            </w:pPr>
            <w:r w:rsidRPr="008020B2">
              <w:rPr>
                <w:rFonts w:ascii="Calibri" w:hAnsi="Calibri"/>
                <w:color w:val="000000"/>
                <w:lang w:val="sr-Latn-BA" w:eastAsia="sr-Latn-BA"/>
              </w:rPr>
              <w:t> </w:t>
            </w:r>
          </w:p>
        </w:tc>
        <w:tc>
          <w:tcPr>
            <w:tcW w:w="2040" w:type="dxa"/>
            <w:tcBorders>
              <w:top w:val="nil"/>
              <w:left w:val="nil"/>
              <w:bottom w:val="nil"/>
              <w:right w:val="nil"/>
            </w:tcBorders>
            <w:shd w:val="clear" w:color="000000" w:fill="FFFFFF"/>
            <w:noWrap/>
            <w:vAlign w:val="bottom"/>
            <w:hideMark/>
          </w:tcPr>
          <w:p w:rsidR="008020B2" w:rsidRPr="008020B2" w:rsidRDefault="008020B2" w:rsidP="008020B2">
            <w:pPr>
              <w:jc w:val="center"/>
              <w:rPr>
                <w:rFonts w:ascii="Calibri" w:hAnsi="Calibri"/>
                <w:b/>
                <w:bCs/>
                <w:color w:val="000000"/>
                <w:lang w:val="sr-Latn-BA" w:eastAsia="sr-Latn-BA"/>
              </w:rPr>
            </w:pPr>
            <w:r w:rsidRPr="008020B2">
              <w:rPr>
                <w:rFonts w:ascii="Calibri" w:hAnsi="Calibri"/>
                <w:b/>
                <w:bCs/>
                <w:color w:val="000000"/>
                <w:lang w:val="sr-Latn-BA" w:eastAsia="sr-Latn-BA"/>
              </w:rPr>
              <w:t>20</w:t>
            </w:r>
            <w:r w:rsidR="005C6D82">
              <w:rPr>
                <w:rFonts w:ascii="Calibri" w:hAnsi="Calibri"/>
                <w:b/>
                <w:bCs/>
                <w:color w:val="000000"/>
                <w:lang w:val="sr-Latn-BA" w:eastAsia="sr-Latn-BA"/>
              </w:rPr>
              <w:t>2</w:t>
            </w:r>
            <w:r w:rsidR="004D4B92">
              <w:rPr>
                <w:rFonts w:ascii="Calibri" w:hAnsi="Calibri"/>
                <w:b/>
                <w:bCs/>
                <w:color w:val="000000"/>
                <w:lang w:val="sr-Latn-BA" w:eastAsia="sr-Latn-BA"/>
              </w:rPr>
              <w:t>1</w:t>
            </w:r>
          </w:p>
        </w:tc>
        <w:tc>
          <w:tcPr>
            <w:tcW w:w="2040" w:type="dxa"/>
            <w:tcBorders>
              <w:top w:val="nil"/>
              <w:left w:val="nil"/>
              <w:bottom w:val="nil"/>
              <w:right w:val="nil"/>
            </w:tcBorders>
            <w:shd w:val="clear" w:color="000000" w:fill="FFFFFF"/>
            <w:noWrap/>
            <w:vAlign w:val="bottom"/>
            <w:hideMark/>
          </w:tcPr>
          <w:p w:rsidR="008020B2" w:rsidRPr="008020B2" w:rsidRDefault="008020B2" w:rsidP="008020B2">
            <w:pPr>
              <w:jc w:val="center"/>
              <w:rPr>
                <w:rFonts w:ascii="Calibri" w:hAnsi="Calibri"/>
                <w:b/>
                <w:bCs/>
                <w:color w:val="000000"/>
                <w:lang w:val="sr-Latn-BA" w:eastAsia="sr-Latn-BA"/>
              </w:rPr>
            </w:pPr>
            <w:r w:rsidRPr="008020B2">
              <w:rPr>
                <w:rFonts w:ascii="Calibri" w:hAnsi="Calibri"/>
                <w:b/>
                <w:bCs/>
                <w:color w:val="000000"/>
                <w:lang w:val="sr-Latn-BA" w:eastAsia="sr-Latn-BA"/>
              </w:rPr>
              <w:t>20</w:t>
            </w:r>
            <w:r w:rsidR="004D4B92">
              <w:rPr>
                <w:rFonts w:ascii="Calibri" w:hAnsi="Calibri"/>
                <w:b/>
                <w:bCs/>
                <w:color w:val="000000"/>
                <w:lang w:val="sr-Latn-BA" w:eastAsia="sr-Latn-BA"/>
              </w:rPr>
              <w:t>20</w:t>
            </w:r>
          </w:p>
        </w:tc>
      </w:tr>
      <w:tr w:rsidR="008020B2" w:rsidRPr="008020B2" w:rsidTr="008020B2">
        <w:trPr>
          <w:trHeight w:val="310"/>
        </w:trPr>
        <w:tc>
          <w:tcPr>
            <w:tcW w:w="5580" w:type="dxa"/>
            <w:tcBorders>
              <w:top w:val="nil"/>
              <w:left w:val="nil"/>
              <w:bottom w:val="nil"/>
              <w:right w:val="nil"/>
            </w:tcBorders>
            <w:shd w:val="clear" w:color="000000" w:fill="FFFFFF"/>
            <w:noWrap/>
            <w:vAlign w:val="bottom"/>
            <w:hideMark/>
          </w:tcPr>
          <w:p w:rsidR="008020B2" w:rsidRPr="008020B2" w:rsidRDefault="008020B2" w:rsidP="008020B2">
            <w:pPr>
              <w:rPr>
                <w:rFonts w:ascii="Calibri" w:hAnsi="Calibri"/>
                <w:color w:val="000000"/>
                <w:lang w:val="sr-Latn-BA" w:eastAsia="sr-Latn-BA"/>
              </w:rPr>
            </w:pPr>
          </w:p>
        </w:tc>
        <w:tc>
          <w:tcPr>
            <w:tcW w:w="2040" w:type="dxa"/>
            <w:tcBorders>
              <w:top w:val="nil"/>
              <w:left w:val="nil"/>
              <w:bottom w:val="nil"/>
              <w:right w:val="nil"/>
            </w:tcBorders>
            <w:shd w:val="clear" w:color="000000" w:fill="FFFFFF"/>
            <w:noWrap/>
            <w:vAlign w:val="bottom"/>
            <w:hideMark/>
          </w:tcPr>
          <w:p w:rsidR="008020B2" w:rsidRPr="008020B2" w:rsidRDefault="008020B2" w:rsidP="008020B2">
            <w:pPr>
              <w:jc w:val="center"/>
              <w:rPr>
                <w:rFonts w:ascii="Calibri" w:hAnsi="Calibri"/>
                <w:b/>
                <w:bCs/>
                <w:color w:val="000000"/>
                <w:lang w:val="sr-Latn-BA" w:eastAsia="sr-Latn-BA"/>
              </w:rPr>
            </w:pPr>
            <w:r w:rsidRPr="008020B2">
              <w:rPr>
                <w:rFonts w:ascii="Calibri" w:hAnsi="Calibri"/>
                <w:b/>
                <w:bCs/>
                <w:color w:val="000000"/>
                <w:lang w:val="sr-Latn-BA" w:eastAsia="sr-Latn-BA"/>
              </w:rPr>
              <w:t> </w:t>
            </w:r>
          </w:p>
        </w:tc>
        <w:tc>
          <w:tcPr>
            <w:tcW w:w="2040" w:type="dxa"/>
            <w:tcBorders>
              <w:top w:val="nil"/>
              <w:left w:val="nil"/>
              <w:bottom w:val="nil"/>
              <w:right w:val="nil"/>
            </w:tcBorders>
            <w:shd w:val="clear" w:color="000000" w:fill="FFFFFF"/>
            <w:noWrap/>
            <w:vAlign w:val="bottom"/>
            <w:hideMark/>
          </w:tcPr>
          <w:p w:rsidR="008020B2" w:rsidRPr="008020B2" w:rsidRDefault="008020B2" w:rsidP="008020B2">
            <w:pPr>
              <w:jc w:val="center"/>
              <w:rPr>
                <w:rFonts w:ascii="Calibri" w:hAnsi="Calibri"/>
                <w:b/>
                <w:bCs/>
                <w:color w:val="000000"/>
                <w:lang w:val="sr-Latn-BA" w:eastAsia="sr-Latn-BA"/>
              </w:rPr>
            </w:pPr>
            <w:r w:rsidRPr="008020B2">
              <w:rPr>
                <w:rFonts w:ascii="Calibri" w:hAnsi="Calibri"/>
                <w:b/>
                <w:bCs/>
                <w:color w:val="000000"/>
                <w:lang w:val="sr-Latn-BA" w:eastAsia="sr-Latn-BA"/>
              </w:rPr>
              <w:t> </w:t>
            </w:r>
          </w:p>
        </w:tc>
      </w:tr>
      <w:tr w:rsidR="008020B2" w:rsidRPr="008020B2" w:rsidTr="008020B2">
        <w:trPr>
          <w:trHeight w:val="310"/>
        </w:trPr>
        <w:tc>
          <w:tcPr>
            <w:tcW w:w="5580" w:type="dxa"/>
            <w:tcBorders>
              <w:top w:val="nil"/>
              <w:left w:val="nil"/>
              <w:bottom w:val="nil"/>
              <w:right w:val="nil"/>
            </w:tcBorders>
            <w:shd w:val="clear" w:color="000000" w:fill="FFFFFF"/>
            <w:noWrap/>
            <w:vAlign w:val="bottom"/>
            <w:hideMark/>
          </w:tcPr>
          <w:p w:rsidR="008020B2" w:rsidRPr="008020B2" w:rsidRDefault="008020B2" w:rsidP="008020B2">
            <w:pPr>
              <w:rPr>
                <w:rFonts w:ascii="Calibri" w:hAnsi="Calibri"/>
                <w:color w:val="000000"/>
                <w:lang w:val="sr-Latn-BA" w:eastAsia="sr-Latn-BA"/>
              </w:rPr>
            </w:pPr>
            <w:r w:rsidRPr="008020B2">
              <w:rPr>
                <w:rFonts w:ascii="Calibri" w:hAnsi="Calibri"/>
                <w:color w:val="000000"/>
                <w:lang w:val="sr-Latn-BA" w:eastAsia="sr-Latn-BA"/>
              </w:rPr>
              <w:t>Novčana sredstva u domaćoj valuti-žiro račun</w:t>
            </w:r>
          </w:p>
        </w:tc>
        <w:tc>
          <w:tcPr>
            <w:tcW w:w="2040" w:type="dxa"/>
            <w:tcBorders>
              <w:top w:val="nil"/>
              <w:left w:val="nil"/>
              <w:bottom w:val="nil"/>
              <w:right w:val="nil"/>
            </w:tcBorders>
            <w:shd w:val="clear" w:color="000000" w:fill="FFFFFF"/>
            <w:noWrap/>
            <w:vAlign w:val="bottom"/>
            <w:hideMark/>
          </w:tcPr>
          <w:p w:rsidR="008020B2" w:rsidRPr="008020B2" w:rsidRDefault="000C3FA0" w:rsidP="004D4B92">
            <w:pPr>
              <w:jc w:val="right"/>
              <w:rPr>
                <w:rFonts w:ascii="Calibri" w:hAnsi="Calibri"/>
                <w:color w:val="000000"/>
                <w:lang w:val="sr-Latn-BA" w:eastAsia="sr-Latn-BA"/>
              </w:rPr>
            </w:pPr>
            <w:r>
              <w:rPr>
                <w:rFonts w:ascii="Calibri" w:hAnsi="Calibri"/>
                <w:color w:val="000000"/>
                <w:lang w:val="sr-Latn-BA" w:eastAsia="sr-Latn-BA"/>
              </w:rPr>
              <w:t xml:space="preserve">             </w:t>
            </w:r>
            <w:r w:rsidR="002727B6">
              <w:rPr>
                <w:rFonts w:ascii="Calibri" w:hAnsi="Calibri"/>
                <w:color w:val="000000"/>
                <w:lang w:val="sr-Latn-BA" w:eastAsia="sr-Latn-BA"/>
              </w:rPr>
              <w:t>2</w:t>
            </w:r>
            <w:r w:rsidR="004D4B92">
              <w:rPr>
                <w:rFonts w:ascii="Calibri" w:hAnsi="Calibri"/>
                <w:color w:val="000000"/>
                <w:lang w:val="sr-Latn-BA" w:eastAsia="sr-Latn-BA"/>
              </w:rPr>
              <w:t>.218.468</w:t>
            </w:r>
            <w:r w:rsidR="008020B2" w:rsidRPr="008020B2">
              <w:rPr>
                <w:rFonts w:ascii="Calibri" w:hAnsi="Calibri"/>
                <w:color w:val="000000"/>
                <w:lang w:val="sr-Latn-BA" w:eastAsia="sr-Latn-BA"/>
              </w:rPr>
              <w:t xml:space="preserve">    </w:t>
            </w:r>
          </w:p>
        </w:tc>
        <w:tc>
          <w:tcPr>
            <w:tcW w:w="2040" w:type="dxa"/>
            <w:tcBorders>
              <w:top w:val="nil"/>
              <w:left w:val="nil"/>
              <w:bottom w:val="nil"/>
              <w:right w:val="nil"/>
            </w:tcBorders>
            <w:shd w:val="clear" w:color="000000" w:fill="FFFFFF"/>
            <w:noWrap/>
            <w:vAlign w:val="bottom"/>
            <w:hideMark/>
          </w:tcPr>
          <w:p w:rsidR="008020B2" w:rsidRPr="008020B2" w:rsidRDefault="008020B2" w:rsidP="00D640BC">
            <w:pPr>
              <w:jc w:val="right"/>
              <w:rPr>
                <w:rFonts w:ascii="Calibri" w:hAnsi="Calibri"/>
                <w:color w:val="000000"/>
                <w:lang w:val="sr-Latn-BA" w:eastAsia="sr-Latn-BA"/>
              </w:rPr>
            </w:pPr>
            <w:r w:rsidRPr="008020B2">
              <w:rPr>
                <w:rFonts w:ascii="Calibri" w:hAnsi="Calibri"/>
                <w:color w:val="000000"/>
                <w:lang w:val="sr-Latn-BA" w:eastAsia="sr-Latn-BA"/>
              </w:rPr>
              <w:t xml:space="preserve">                                </w:t>
            </w:r>
            <w:r w:rsidR="00D640BC">
              <w:rPr>
                <w:rFonts w:ascii="Calibri" w:hAnsi="Calibri"/>
                <w:color w:val="000000"/>
                <w:lang w:val="sr-Latn-BA" w:eastAsia="sr-Latn-BA"/>
              </w:rPr>
              <w:t>97.911</w:t>
            </w:r>
            <w:r w:rsidR="005C6D82" w:rsidRPr="008020B2">
              <w:rPr>
                <w:rFonts w:ascii="Calibri" w:hAnsi="Calibri"/>
                <w:color w:val="000000"/>
                <w:lang w:val="sr-Latn-BA" w:eastAsia="sr-Latn-BA"/>
              </w:rPr>
              <w:t xml:space="preserve">    </w:t>
            </w:r>
            <w:r w:rsidRPr="008020B2">
              <w:rPr>
                <w:rFonts w:ascii="Calibri" w:hAnsi="Calibri"/>
                <w:color w:val="000000"/>
                <w:lang w:val="sr-Latn-BA" w:eastAsia="sr-Latn-BA"/>
              </w:rPr>
              <w:t xml:space="preserve">      </w:t>
            </w:r>
          </w:p>
        </w:tc>
      </w:tr>
      <w:tr w:rsidR="008020B2" w:rsidRPr="008020B2" w:rsidTr="008020B2">
        <w:trPr>
          <w:trHeight w:val="310"/>
        </w:trPr>
        <w:tc>
          <w:tcPr>
            <w:tcW w:w="5580" w:type="dxa"/>
            <w:tcBorders>
              <w:top w:val="nil"/>
              <w:left w:val="nil"/>
              <w:bottom w:val="nil"/>
              <w:right w:val="nil"/>
            </w:tcBorders>
            <w:shd w:val="clear" w:color="000000" w:fill="FFFFFF"/>
            <w:noWrap/>
            <w:vAlign w:val="bottom"/>
            <w:hideMark/>
          </w:tcPr>
          <w:p w:rsidR="008020B2" w:rsidRPr="008020B2" w:rsidRDefault="008020B2" w:rsidP="008020B2">
            <w:pPr>
              <w:rPr>
                <w:rFonts w:ascii="Calibri" w:hAnsi="Calibri"/>
                <w:color w:val="000000"/>
                <w:lang w:val="sr-Latn-BA" w:eastAsia="sr-Latn-BA"/>
              </w:rPr>
            </w:pPr>
            <w:r w:rsidRPr="008020B2">
              <w:rPr>
                <w:rFonts w:ascii="Calibri" w:hAnsi="Calibri"/>
                <w:color w:val="000000"/>
                <w:lang w:val="sr-Latn-BA" w:eastAsia="sr-Latn-BA"/>
              </w:rPr>
              <w:t> </w:t>
            </w:r>
          </w:p>
        </w:tc>
        <w:tc>
          <w:tcPr>
            <w:tcW w:w="2040" w:type="dxa"/>
            <w:tcBorders>
              <w:top w:val="nil"/>
              <w:left w:val="nil"/>
              <w:bottom w:val="nil"/>
              <w:right w:val="nil"/>
            </w:tcBorders>
            <w:shd w:val="clear" w:color="000000" w:fill="FFFFFF"/>
            <w:noWrap/>
            <w:vAlign w:val="bottom"/>
            <w:hideMark/>
          </w:tcPr>
          <w:p w:rsidR="008020B2" w:rsidRPr="008020B2" w:rsidRDefault="008020B2" w:rsidP="008020B2">
            <w:pPr>
              <w:jc w:val="right"/>
              <w:rPr>
                <w:rFonts w:ascii="Calibri" w:hAnsi="Calibri"/>
                <w:color w:val="000000"/>
                <w:lang w:val="sr-Latn-BA" w:eastAsia="sr-Latn-BA"/>
              </w:rPr>
            </w:pPr>
            <w:r w:rsidRPr="008020B2">
              <w:rPr>
                <w:rFonts w:ascii="Calibri" w:hAnsi="Calibri"/>
                <w:color w:val="000000"/>
                <w:lang w:val="sr-Latn-BA" w:eastAsia="sr-Latn-BA"/>
              </w:rPr>
              <w:t> </w:t>
            </w:r>
          </w:p>
        </w:tc>
        <w:tc>
          <w:tcPr>
            <w:tcW w:w="2040" w:type="dxa"/>
            <w:tcBorders>
              <w:top w:val="nil"/>
              <w:left w:val="nil"/>
              <w:bottom w:val="nil"/>
              <w:right w:val="nil"/>
            </w:tcBorders>
            <w:shd w:val="clear" w:color="000000" w:fill="FFFFFF"/>
            <w:noWrap/>
            <w:vAlign w:val="bottom"/>
            <w:hideMark/>
          </w:tcPr>
          <w:p w:rsidR="008020B2" w:rsidRPr="008020B2" w:rsidRDefault="008020B2" w:rsidP="008020B2">
            <w:pPr>
              <w:rPr>
                <w:rFonts w:ascii="Calibri" w:hAnsi="Calibri"/>
                <w:color w:val="000000"/>
                <w:lang w:val="sr-Latn-BA" w:eastAsia="sr-Latn-BA"/>
              </w:rPr>
            </w:pPr>
            <w:r w:rsidRPr="008020B2">
              <w:rPr>
                <w:rFonts w:ascii="Calibri" w:hAnsi="Calibri"/>
                <w:color w:val="000000"/>
                <w:lang w:val="sr-Latn-BA" w:eastAsia="sr-Latn-BA"/>
              </w:rPr>
              <w:t> </w:t>
            </w:r>
          </w:p>
        </w:tc>
      </w:tr>
      <w:tr w:rsidR="008020B2" w:rsidRPr="008020B2" w:rsidTr="008020B2">
        <w:trPr>
          <w:trHeight w:val="370"/>
        </w:trPr>
        <w:tc>
          <w:tcPr>
            <w:tcW w:w="5580" w:type="dxa"/>
            <w:tcBorders>
              <w:top w:val="nil"/>
              <w:left w:val="nil"/>
              <w:bottom w:val="nil"/>
              <w:right w:val="nil"/>
            </w:tcBorders>
            <w:shd w:val="clear" w:color="000000" w:fill="FFFFFF"/>
            <w:noWrap/>
            <w:vAlign w:val="bottom"/>
            <w:hideMark/>
          </w:tcPr>
          <w:p w:rsidR="008020B2" w:rsidRPr="008020B2" w:rsidRDefault="008020B2" w:rsidP="008020B2">
            <w:pPr>
              <w:rPr>
                <w:rFonts w:ascii="Calibri" w:hAnsi="Calibri"/>
                <w:b/>
                <w:bCs/>
                <w:lang w:val="sr-Latn-BA" w:eastAsia="sr-Latn-BA"/>
              </w:rPr>
            </w:pPr>
            <w:r w:rsidRPr="008020B2">
              <w:rPr>
                <w:rFonts w:ascii="Calibri" w:hAnsi="Calibri"/>
                <w:b/>
                <w:bCs/>
                <w:lang w:val="sr-Latn-BA" w:eastAsia="sr-Latn-BA"/>
              </w:rPr>
              <w:t>Za godinu koja se za</w:t>
            </w:r>
            <w:r w:rsidR="004326A2">
              <w:rPr>
                <w:rFonts w:ascii="Calibri" w:hAnsi="Calibri"/>
                <w:b/>
                <w:bCs/>
                <w:lang w:val="sr-Latn-BA" w:eastAsia="sr-Latn-BA"/>
              </w:rPr>
              <w:t>vršila 31.03.2021</w:t>
            </w:r>
            <w:r w:rsidRPr="008020B2">
              <w:rPr>
                <w:rFonts w:ascii="Calibri" w:hAnsi="Calibri"/>
                <w:b/>
                <w:bCs/>
                <w:lang w:val="sr-Latn-BA" w:eastAsia="sr-Latn-BA"/>
              </w:rPr>
              <w:t>.</w:t>
            </w:r>
          </w:p>
        </w:tc>
        <w:tc>
          <w:tcPr>
            <w:tcW w:w="2040" w:type="dxa"/>
            <w:tcBorders>
              <w:top w:val="nil"/>
              <w:left w:val="nil"/>
              <w:bottom w:val="nil"/>
              <w:right w:val="nil"/>
            </w:tcBorders>
            <w:shd w:val="clear" w:color="000000" w:fill="FFFFFF"/>
            <w:noWrap/>
            <w:vAlign w:val="bottom"/>
            <w:hideMark/>
          </w:tcPr>
          <w:p w:rsidR="008020B2" w:rsidRPr="008020B2" w:rsidRDefault="002727B6" w:rsidP="004326A2">
            <w:pPr>
              <w:jc w:val="right"/>
              <w:rPr>
                <w:rFonts w:ascii="Calibri" w:hAnsi="Calibri"/>
                <w:b/>
                <w:bCs/>
                <w:color w:val="000000"/>
                <w:u w:val="single"/>
                <w:lang w:val="sr-Latn-BA" w:eastAsia="sr-Latn-BA"/>
              </w:rPr>
            </w:pPr>
            <w:r>
              <w:rPr>
                <w:rFonts w:ascii="Calibri" w:hAnsi="Calibri"/>
                <w:b/>
                <w:bCs/>
                <w:color w:val="000000"/>
                <w:u w:val="single"/>
                <w:lang w:val="sr-Latn-BA" w:eastAsia="sr-Latn-BA"/>
              </w:rPr>
              <w:t>2.</w:t>
            </w:r>
            <w:r w:rsidR="004326A2">
              <w:rPr>
                <w:rFonts w:ascii="Calibri" w:hAnsi="Calibri"/>
                <w:b/>
                <w:bCs/>
                <w:color w:val="000000"/>
                <w:u w:val="single"/>
                <w:lang w:val="sr-Latn-BA" w:eastAsia="sr-Latn-BA"/>
              </w:rPr>
              <w:t>218.468</w:t>
            </w:r>
            <w:r w:rsidR="008020B2" w:rsidRPr="008020B2">
              <w:rPr>
                <w:rFonts w:ascii="Calibri" w:hAnsi="Calibri"/>
                <w:b/>
                <w:bCs/>
                <w:color w:val="000000"/>
                <w:u w:val="single"/>
                <w:lang w:val="sr-Latn-BA" w:eastAsia="sr-Latn-BA"/>
              </w:rPr>
              <w:t xml:space="preserve">    </w:t>
            </w:r>
          </w:p>
        </w:tc>
        <w:tc>
          <w:tcPr>
            <w:tcW w:w="2040" w:type="dxa"/>
            <w:tcBorders>
              <w:top w:val="nil"/>
              <w:left w:val="nil"/>
              <w:bottom w:val="nil"/>
              <w:right w:val="nil"/>
            </w:tcBorders>
            <w:shd w:val="clear" w:color="000000" w:fill="FFFFFF"/>
            <w:noWrap/>
            <w:vAlign w:val="bottom"/>
            <w:hideMark/>
          </w:tcPr>
          <w:p w:rsidR="008020B2" w:rsidRPr="008020B2" w:rsidRDefault="00D640BC" w:rsidP="005C6D82">
            <w:pPr>
              <w:jc w:val="right"/>
              <w:rPr>
                <w:rFonts w:ascii="Calibri" w:hAnsi="Calibri"/>
                <w:b/>
                <w:bCs/>
                <w:color w:val="000000"/>
                <w:u w:val="single"/>
                <w:lang w:val="sr-Latn-BA" w:eastAsia="sr-Latn-BA"/>
              </w:rPr>
            </w:pPr>
            <w:r>
              <w:rPr>
                <w:rFonts w:ascii="Calibri" w:hAnsi="Calibri"/>
                <w:b/>
                <w:bCs/>
                <w:color w:val="000000"/>
                <w:u w:val="single"/>
                <w:lang w:val="sr-Latn-BA" w:eastAsia="sr-Latn-BA"/>
              </w:rPr>
              <w:t>97.911</w:t>
            </w:r>
            <w:r w:rsidR="005C6D82" w:rsidRPr="008020B2">
              <w:rPr>
                <w:rFonts w:ascii="Calibri" w:hAnsi="Calibri"/>
                <w:b/>
                <w:bCs/>
                <w:color w:val="000000"/>
                <w:u w:val="single"/>
                <w:lang w:val="sr-Latn-BA" w:eastAsia="sr-Latn-BA"/>
              </w:rPr>
              <w:t xml:space="preserve">    </w:t>
            </w:r>
          </w:p>
        </w:tc>
      </w:tr>
      <w:tr w:rsidR="008020B2" w:rsidRPr="008020B2" w:rsidTr="008020B2">
        <w:trPr>
          <w:trHeight w:val="310"/>
        </w:trPr>
        <w:tc>
          <w:tcPr>
            <w:tcW w:w="5580" w:type="dxa"/>
            <w:tcBorders>
              <w:top w:val="nil"/>
              <w:left w:val="nil"/>
              <w:bottom w:val="nil"/>
              <w:right w:val="nil"/>
            </w:tcBorders>
            <w:shd w:val="clear" w:color="auto" w:fill="auto"/>
            <w:noWrap/>
            <w:vAlign w:val="bottom"/>
            <w:hideMark/>
          </w:tcPr>
          <w:p w:rsidR="008020B2" w:rsidRPr="008020B2" w:rsidRDefault="008020B2" w:rsidP="008020B2">
            <w:pPr>
              <w:rPr>
                <w:rFonts w:ascii="Calibri" w:hAnsi="Calibri"/>
                <w:color w:val="000000"/>
                <w:lang w:val="sr-Latn-BA" w:eastAsia="sr-Latn-BA"/>
              </w:rPr>
            </w:pPr>
          </w:p>
        </w:tc>
        <w:tc>
          <w:tcPr>
            <w:tcW w:w="2040" w:type="dxa"/>
            <w:tcBorders>
              <w:top w:val="nil"/>
              <w:left w:val="nil"/>
              <w:bottom w:val="nil"/>
              <w:right w:val="nil"/>
            </w:tcBorders>
            <w:shd w:val="clear" w:color="auto" w:fill="auto"/>
            <w:noWrap/>
            <w:vAlign w:val="bottom"/>
            <w:hideMark/>
          </w:tcPr>
          <w:p w:rsidR="008020B2" w:rsidRPr="008020B2" w:rsidRDefault="008020B2" w:rsidP="008020B2">
            <w:pPr>
              <w:rPr>
                <w:rFonts w:ascii="Calibri" w:hAnsi="Calibri"/>
                <w:color w:val="000000"/>
                <w:lang w:val="sr-Latn-BA" w:eastAsia="sr-Latn-BA"/>
              </w:rPr>
            </w:pPr>
          </w:p>
        </w:tc>
        <w:tc>
          <w:tcPr>
            <w:tcW w:w="2040" w:type="dxa"/>
            <w:tcBorders>
              <w:top w:val="nil"/>
              <w:left w:val="nil"/>
              <w:bottom w:val="nil"/>
              <w:right w:val="nil"/>
            </w:tcBorders>
            <w:shd w:val="clear" w:color="auto" w:fill="auto"/>
            <w:noWrap/>
            <w:vAlign w:val="bottom"/>
            <w:hideMark/>
          </w:tcPr>
          <w:p w:rsidR="008020B2" w:rsidRPr="008020B2" w:rsidRDefault="008020B2" w:rsidP="008020B2">
            <w:pPr>
              <w:rPr>
                <w:rFonts w:ascii="Calibri" w:hAnsi="Calibri"/>
                <w:color w:val="000000"/>
                <w:lang w:val="sr-Latn-BA" w:eastAsia="sr-Latn-BA"/>
              </w:rPr>
            </w:pPr>
          </w:p>
        </w:tc>
      </w:tr>
    </w:tbl>
    <w:p w:rsidR="00952D10" w:rsidRPr="00A47E7E" w:rsidRDefault="00952D10" w:rsidP="00EF35D6">
      <w:pPr>
        <w:tabs>
          <w:tab w:val="left" w:pos="-1440"/>
          <w:tab w:val="left" w:pos="-720"/>
          <w:tab w:val="left" w:pos="889"/>
          <w:tab w:val="left" w:pos="1231"/>
          <w:tab w:val="right" w:pos="8960"/>
        </w:tabs>
        <w:rPr>
          <w:rFonts w:ascii="Calibri" w:hAnsi="Calibri" w:cs="Calibri"/>
          <w:b/>
          <w:noProof/>
        </w:rPr>
      </w:pPr>
    </w:p>
    <w:p w:rsidR="007C048A" w:rsidRPr="00FC7355" w:rsidRDefault="00FC7355" w:rsidP="007C048A">
      <w:pPr>
        <w:pStyle w:val="Heading1"/>
        <w:rPr>
          <w:rFonts w:ascii="Calibri" w:hAnsi="Calibri" w:cs="Calibri"/>
          <w:noProof/>
          <w:sz w:val="24"/>
          <w:szCs w:val="24"/>
        </w:rPr>
      </w:pPr>
      <w:bookmarkStart w:id="24" w:name="_Toc64534452"/>
      <w:r>
        <w:rPr>
          <w:rFonts w:ascii="Calibri" w:hAnsi="Calibri" w:cs="Calibri"/>
          <w:noProof/>
          <w:sz w:val="24"/>
          <w:szCs w:val="24"/>
        </w:rPr>
        <w:t>ULAGANJA FONDA U FINANSIJSKA SREDSTVA</w:t>
      </w:r>
      <w:bookmarkEnd w:id="24"/>
      <w:r>
        <w:rPr>
          <w:rFonts w:ascii="Calibri" w:hAnsi="Calibri" w:cs="Calibri"/>
          <w:noProof/>
          <w:sz w:val="24"/>
          <w:szCs w:val="24"/>
        </w:rPr>
        <w:t xml:space="preserve"> </w:t>
      </w:r>
    </w:p>
    <w:p w:rsidR="00FC7355" w:rsidRPr="007C048A" w:rsidRDefault="00FC7355" w:rsidP="007C048A"/>
    <w:tbl>
      <w:tblPr>
        <w:tblW w:w="8262" w:type="dxa"/>
        <w:tblInd w:w="93" w:type="dxa"/>
        <w:tblLook w:val="04A0" w:firstRow="1" w:lastRow="0" w:firstColumn="1" w:lastColumn="0" w:noHBand="0" w:noVBand="1"/>
      </w:tblPr>
      <w:tblGrid>
        <w:gridCol w:w="3559"/>
        <w:gridCol w:w="2807"/>
        <w:gridCol w:w="1896"/>
      </w:tblGrid>
      <w:tr w:rsidR="00345DA0" w:rsidRPr="00C87210" w:rsidTr="00345DA0">
        <w:trPr>
          <w:trHeight w:val="313"/>
        </w:trPr>
        <w:tc>
          <w:tcPr>
            <w:tcW w:w="3559" w:type="dxa"/>
            <w:tcBorders>
              <w:top w:val="nil"/>
              <w:left w:val="nil"/>
              <w:bottom w:val="nil"/>
              <w:right w:val="nil"/>
            </w:tcBorders>
            <w:shd w:val="clear" w:color="000000" w:fill="FFFFFF"/>
            <w:noWrap/>
            <w:vAlign w:val="bottom"/>
            <w:hideMark/>
          </w:tcPr>
          <w:p w:rsidR="00345DA0" w:rsidRPr="00C87210" w:rsidRDefault="00345DA0" w:rsidP="002D1B63">
            <w:pPr>
              <w:rPr>
                <w:rFonts w:ascii="Calibri" w:hAnsi="Calibri" w:cs="Calibri"/>
                <w:lang w:val="de-AT"/>
              </w:rPr>
            </w:pPr>
            <w:r w:rsidRPr="00C87210">
              <w:rPr>
                <w:rFonts w:ascii="Calibri" w:hAnsi="Calibri" w:cs="Calibri"/>
                <w:lang w:val="de-AT"/>
              </w:rPr>
              <w:t> </w:t>
            </w:r>
          </w:p>
        </w:tc>
        <w:tc>
          <w:tcPr>
            <w:tcW w:w="2807" w:type="dxa"/>
            <w:tcBorders>
              <w:top w:val="nil"/>
              <w:left w:val="nil"/>
              <w:bottom w:val="nil"/>
              <w:right w:val="nil"/>
            </w:tcBorders>
            <w:shd w:val="clear" w:color="000000" w:fill="FFFFFF"/>
            <w:noWrap/>
            <w:vAlign w:val="bottom"/>
            <w:hideMark/>
          </w:tcPr>
          <w:p w:rsidR="00345DA0" w:rsidRPr="00C87210" w:rsidRDefault="00345DA0" w:rsidP="002D1B63">
            <w:pPr>
              <w:jc w:val="center"/>
              <w:rPr>
                <w:rFonts w:ascii="Calibri" w:hAnsi="Calibri" w:cs="Calibri"/>
                <w:b/>
                <w:bCs/>
                <w:highlight w:val="yellow"/>
              </w:rPr>
            </w:pPr>
            <w:r w:rsidRPr="00C87210">
              <w:rPr>
                <w:rFonts w:ascii="Calibri" w:hAnsi="Calibri" w:cs="Calibri"/>
                <w:b/>
                <w:bCs/>
              </w:rPr>
              <w:t>2021</w:t>
            </w:r>
          </w:p>
        </w:tc>
        <w:tc>
          <w:tcPr>
            <w:tcW w:w="1896" w:type="dxa"/>
            <w:tcBorders>
              <w:top w:val="nil"/>
              <w:left w:val="nil"/>
              <w:bottom w:val="nil"/>
              <w:right w:val="nil"/>
            </w:tcBorders>
            <w:shd w:val="clear" w:color="000000" w:fill="FFFFFF"/>
            <w:noWrap/>
            <w:vAlign w:val="bottom"/>
            <w:hideMark/>
          </w:tcPr>
          <w:p w:rsidR="00345DA0" w:rsidRPr="00C87210" w:rsidRDefault="00345DA0" w:rsidP="002D1B63">
            <w:pPr>
              <w:jc w:val="center"/>
              <w:rPr>
                <w:rFonts w:ascii="Calibri" w:hAnsi="Calibri" w:cs="Calibri"/>
                <w:b/>
                <w:bCs/>
                <w:highlight w:val="yellow"/>
              </w:rPr>
            </w:pPr>
            <w:r w:rsidRPr="00C87210">
              <w:rPr>
                <w:rFonts w:ascii="Calibri" w:hAnsi="Calibri" w:cs="Calibri"/>
                <w:b/>
                <w:bCs/>
              </w:rPr>
              <w:t>2020</w:t>
            </w:r>
          </w:p>
        </w:tc>
      </w:tr>
      <w:tr w:rsidR="00345DA0" w:rsidRPr="00C87210" w:rsidTr="00345DA0">
        <w:trPr>
          <w:trHeight w:val="376"/>
        </w:trPr>
        <w:tc>
          <w:tcPr>
            <w:tcW w:w="3559" w:type="dxa"/>
            <w:tcBorders>
              <w:top w:val="nil"/>
              <w:left w:val="nil"/>
              <w:bottom w:val="nil"/>
              <w:right w:val="nil"/>
            </w:tcBorders>
            <w:shd w:val="clear" w:color="000000" w:fill="FFFFFF"/>
            <w:noWrap/>
            <w:vAlign w:val="bottom"/>
            <w:hideMark/>
          </w:tcPr>
          <w:p w:rsidR="00345DA0" w:rsidRPr="00C87210" w:rsidRDefault="00345DA0" w:rsidP="002D1B63">
            <w:pPr>
              <w:rPr>
                <w:rFonts w:ascii="Calibri" w:hAnsi="Calibri" w:cs="Calibri"/>
              </w:rPr>
            </w:pPr>
            <w:proofErr w:type="spellStart"/>
            <w:r w:rsidRPr="00C87210">
              <w:rPr>
                <w:rFonts w:ascii="Calibri" w:hAnsi="Calibri" w:cs="Calibri"/>
              </w:rPr>
              <w:t>Ulaganja</w:t>
            </w:r>
            <w:proofErr w:type="spellEnd"/>
            <w:r w:rsidRPr="00C87210">
              <w:rPr>
                <w:rFonts w:ascii="Calibri" w:hAnsi="Calibri" w:cs="Calibri"/>
              </w:rPr>
              <w:t xml:space="preserve"> u HOV </w:t>
            </w:r>
            <w:proofErr w:type="spellStart"/>
            <w:r w:rsidRPr="00C87210">
              <w:rPr>
                <w:rFonts w:ascii="Calibri" w:hAnsi="Calibri" w:cs="Calibri"/>
              </w:rPr>
              <w:t>raspoložive</w:t>
            </w:r>
            <w:proofErr w:type="spellEnd"/>
            <w:r w:rsidRPr="00C87210">
              <w:rPr>
                <w:rFonts w:ascii="Calibri" w:hAnsi="Calibri" w:cs="Calibri"/>
              </w:rPr>
              <w:t xml:space="preserve"> </w:t>
            </w:r>
            <w:proofErr w:type="spellStart"/>
            <w:r w:rsidRPr="00C87210">
              <w:rPr>
                <w:rFonts w:ascii="Calibri" w:hAnsi="Calibri" w:cs="Calibri"/>
              </w:rPr>
              <w:t>za</w:t>
            </w:r>
            <w:proofErr w:type="spellEnd"/>
            <w:r w:rsidRPr="00C87210">
              <w:rPr>
                <w:rFonts w:ascii="Calibri" w:hAnsi="Calibri" w:cs="Calibri"/>
              </w:rPr>
              <w:t xml:space="preserve"> </w:t>
            </w:r>
            <w:proofErr w:type="spellStart"/>
            <w:r w:rsidRPr="00C87210">
              <w:rPr>
                <w:rFonts w:ascii="Calibri" w:hAnsi="Calibri" w:cs="Calibri"/>
              </w:rPr>
              <w:t>prodaju</w:t>
            </w:r>
            <w:proofErr w:type="spellEnd"/>
          </w:p>
        </w:tc>
        <w:tc>
          <w:tcPr>
            <w:tcW w:w="2807" w:type="dxa"/>
            <w:tcBorders>
              <w:top w:val="nil"/>
              <w:left w:val="nil"/>
              <w:bottom w:val="nil"/>
              <w:right w:val="nil"/>
            </w:tcBorders>
            <w:shd w:val="clear" w:color="000000" w:fill="FFFFFF"/>
            <w:noWrap/>
            <w:vAlign w:val="bottom"/>
            <w:hideMark/>
          </w:tcPr>
          <w:p w:rsidR="00345DA0" w:rsidRPr="00C87210" w:rsidRDefault="00345DA0" w:rsidP="00345DA0">
            <w:pPr>
              <w:jc w:val="right"/>
              <w:rPr>
                <w:rFonts w:ascii="Calibri" w:hAnsi="Calibri" w:cs="Calibri"/>
              </w:rPr>
            </w:pPr>
            <w:r w:rsidRPr="00C87210">
              <w:rPr>
                <w:rFonts w:ascii="Calibri" w:hAnsi="Calibri" w:cs="Calibri"/>
              </w:rPr>
              <w:t xml:space="preserve">                                       381.390     </w:t>
            </w:r>
          </w:p>
        </w:tc>
        <w:tc>
          <w:tcPr>
            <w:tcW w:w="1896" w:type="dxa"/>
            <w:tcBorders>
              <w:top w:val="nil"/>
              <w:left w:val="nil"/>
              <w:bottom w:val="nil"/>
              <w:right w:val="nil"/>
            </w:tcBorders>
            <w:shd w:val="clear" w:color="000000" w:fill="FFFFFF"/>
            <w:noWrap/>
            <w:vAlign w:val="bottom"/>
            <w:hideMark/>
          </w:tcPr>
          <w:p w:rsidR="00345DA0" w:rsidRPr="00C87210" w:rsidRDefault="00C87577" w:rsidP="00B71FDC">
            <w:pPr>
              <w:jc w:val="right"/>
              <w:rPr>
                <w:rFonts w:ascii="Calibri" w:hAnsi="Calibri" w:cs="Calibri"/>
              </w:rPr>
            </w:pPr>
            <w:r w:rsidRPr="00C87210">
              <w:rPr>
                <w:rFonts w:ascii="Calibri" w:hAnsi="Calibri" w:cs="Calibri"/>
              </w:rPr>
              <w:t>585.604</w:t>
            </w:r>
            <w:r w:rsidR="00345DA0" w:rsidRPr="00C87210">
              <w:rPr>
                <w:rFonts w:ascii="Calibri" w:hAnsi="Calibri" w:cs="Calibri"/>
              </w:rPr>
              <w:t xml:space="preserve">                    </w:t>
            </w:r>
          </w:p>
        </w:tc>
      </w:tr>
      <w:tr w:rsidR="00345DA0" w:rsidRPr="00C87210" w:rsidTr="00345DA0">
        <w:trPr>
          <w:trHeight w:val="376"/>
        </w:trPr>
        <w:tc>
          <w:tcPr>
            <w:tcW w:w="3559" w:type="dxa"/>
            <w:tcBorders>
              <w:top w:val="nil"/>
              <w:left w:val="nil"/>
              <w:bottom w:val="nil"/>
              <w:right w:val="nil"/>
            </w:tcBorders>
            <w:shd w:val="clear" w:color="000000" w:fill="FFFFFF"/>
            <w:noWrap/>
            <w:vAlign w:val="bottom"/>
            <w:hideMark/>
          </w:tcPr>
          <w:p w:rsidR="00345DA0" w:rsidRPr="00C87210" w:rsidRDefault="00345DA0" w:rsidP="002D1B63">
            <w:pPr>
              <w:rPr>
                <w:rFonts w:ascii="Calibri" w:hAnsi="Calibri" w:cs="Calibri"/>
              </w:rPr>
            </w:pPr>
            <w:proofErr w:type="spellStart"/>
            <w:r w:rsidRPr="00C87210">
              <w:rPr>
                <w:rFonts w:ascii="Calibri" w:hAnsi="Calibri" w:cs="Calibri"/>
              </w:rPr>
              <w:t>Ispravka</w:t>
            </w:r>
            <w:proofErr w:type="spellEnd"/>
            <w:r w:rsidRPr="00C87210">
              <w:rPr>
                <w:rFonts w:ascii="Calibri" w:hAnsi="Calibri" w:cs="Calibri"/>
              </w:rPr>
              <w:t xml:space="preserve"> </w:t>
            </w:r>
            <w:proofErr w:type="spellStart"/>
            <w:r w:rsidRPr="00C87210">
              <w:rPr>
                <w:rFonts w:ascii="Calibri" w:hAnsi="Calibri" w:cs="Calibri"/>
              </w:rPr>
              <w:t>vrijednosti</w:t>
            </w:r>
            <w:proofErr w:type="spellEnd"/>
            <w:r w:rsidRPr="00C87210">
              <w:rPr>
                <w:rFonts w:ascii="Calibri" w:hAnsi="Calibri" w:cs="Calibri"/>
              </w:rPr>
              <w:t xml:space="preserve"> </w:t>
            </w:r>
            <w:proofErr w:type="spellStart"/>
            <w:r w:rsidRPr="00C87210">
              <w:rPr>
                <w:rFonts w:ascii="Calibri" w:hAnsi="Calibri" w:cs="Calibri"/>
              </w:rPr>
              <w:t>ulaganja</w:t>
            </w:r>
            <w:proofErr w:type="spellEnd"/>
            <w:r w:rsidRPr="00C87210">
              <w:rPr>
                <w:rFonts w:ascii="Calibri" w:hAnsi="Calibri" w:cs="Calibri"/>
              </w:rPr>
              <w:t xml:space="preserve"> u HOV </w:t>
            </w:r>
            <w:proofErr w:type="spellStart"/>
            <w:r w:rsidRPr="00C87210">
              <w:rPr>
                <w:rFonts w:ascii="Calibri" w:hAnsi="Calibri" w:cs="Calibri"/>
              </w:rPr>
              <w:t>raspoložive</w:t>
            </w:r>
            <w:proofErr w:type="spellEnd"/>
            <w:r w:rsidRPr="00C87210">
              <w:rPr>
                <w:rFonts w:ascii="Calibri" w:hAnsi="Calibri" w:cs="Calibri"/>
              </w:rPr>
              <w:t xml:space="preserve"> </w:t>
            </w:r>
            <w:proofErr w:type="spellStart"/>
            <w:r w:rsidRPr="00C87210">
              <w:rPr>
                <w:rFonts w:ascii="Calibri" w:hAnsi="Calibri" w:cs="Calibri"/>
              </w:rPr>
              <w:t>za</w:t>
            </w:r>
            <w:proofErr w:type="spellEnd"/>
            <w:r w:rsidRPr="00C87210">
              <w:rPr>
                <w:rFonts w:ascii="Calibri" w:hAnsi="Calibri" w:cs="Calibri"/>
              </w:rPr>
              <w:t xml:space="preserve"> </w:t>
            </w:r>
            <w:proofErr w:type="spellStart"/>
            <w:r w:rsidRPr="00C87210">
              <w:rPr>
                <w:rFonts w:ascii="Calibri" w:hAnsi="Calibri" w:cs="Calibri"/>
              </w:rPr>
              <w:t>prodaju</w:t>
            </w:r>
            <w:proofErr w:type="spellEnd"/>
            <w:r w:rsidRPr="00C87210">
              <w:rPr>
                <w:rFonts w:ascii="Calibri" w:hAnsi="Calibri" w:cs="Calibri"/>
              </w:rPr>
              <w:t xml:space="preserve"> </w:t>
            </w:r>
          </w:p>
        </w:tc>
        <w:tc>
          <w:tcPr>
            <w:tcW w:w="2807" w:type="dxa"/>
            <w:tcBorders>
              <w:top w:val="nil"/>
              <w:left w:val="nil"/>
              <w:bottom w:val="nil"/>
              <w:right w:val="nil"/>
            </w:tcBorders>
            <w:shd w:val="clear" w:color="000000" w:fill="FFFFFF"/>
            <w:noWrap/>
            <w:vAlign w:val="bottom"/>
            <w:hideMark/>
          </w:tcPr>
          <w:p w:rsidR="00345DA0" w:rsidRPr="00C87210" w:rsidRDefault="00345DA0" w:rsidP="00345DA0">
            <w:pPr>
              <w:jc w:val="right"/>
              <w:rPr>
                <w:rFonts w:ascii="Calibri" w:hAnsi="Calibri" w:cs="Calibri"/>
              </w:rPr>
            </w:pPr>
            <w:r w:rsidRPr="00C87210">
              <w:rPr>
                <w:rFonts w:ascii="Calibri" w:hAnsi="Calibri" w:cs="Calibri"/>
              </w:rPr>
              <w:t xml:space="preserve">                                     -1.513      </w:t>
            </w:r>
          </w:p>
        </w:tc>
        <w:tc>
          <w:tcPr>
            <w:tcW w:w="1896" w:type="dxa"/>
            <w:tcBorders>
              <w:top w:val="nil"/>
              <w:left w:val="nil"/>
              <w:bottom w:val="nil"/>
              <w:right w:val="nil"/>
            </w:tcBorders>
            <w:shd w:val="clear" w:color="000000" w:fill="FFFFFF"/>
            <w:noWrap/>
            <w:vAlign w:val="bottom"/>
            <w:hideMark/>
          </w:tcPr>
          <w:p w:rsidR="00345DA0" w:rsidRPr="00C87210" w:rsidRDefault="00C87577" w:rsidP="00B71FDC">
            <w:pPr>
              <w:jc w:val="right"/>
              <w:rPr>
                <w:rFonts w:ascii="Calibri" w:hAnsi="Calibri" w:cs="Calibri"/>
              </w:rPr>
            </w:pPr>
            <w:r w:rsidRPr="00C87210">
              <w:rPr>
                <w:rFonts w:ascii="Calibri" w:hAnsi="Calibri" w:cs="Calibri"/>
              </w:rPr>
              <w:t>179.135</w:t>
            </w:r>
            <w:r w:rsidR="00345DA0" w:rsidRPr="00C87210">
              <w:rPr>
                <w:rFonts w:ascii="Calibri" w:hAnsi="Calibri" w:cs="Calibri"/>
              </w:rPr>
              <w:t xml:space="preserve">                      </w:t>
            </w:r>
          </w:p>
        </w:tc>
      </w:tr>
      <w:tr w:rsidR="00345DA0" w:rsidRPr="00C87210" w:rsidTr="00345DA0">
        <w:trPr>
          <w:trHeight w:val="595"/>
        </w:trPr>
        <w:tc>
          <w:tcPr>
            <w:tcW w:w="3559" w:type="dxa"/>
            <w:tcBorders>
              <w:top w:val="nil"/>
              <w:left w:val="nil"/>
              <w:bottom w:val="nil"/>
              <w:right w:val="nil"/>
            </w:tcBorders>
            <w:shd w:val="clear" w:color="000000" w:fill="FFFFFF"/>
            <w:vAlign w:val="bottom"/>
            <w:hideMark/>
          </w:tcPr>
          <w:p w:rsidR="00345DA0" w:rsidRPr="00C87210" w:rsidRDefault="00345DA0" w:rsidP="002D1B63">
            <w:pPr>
              <w:rPr>
                <w:rFonts w:ascii="Calibri" w:hAnsi="Calibri" w:cs="Calibri"/>
              </w:rPr>
            </w:pPr>
            <w:proofErr w:type="spellStart"/>
            <w:r w:rsidRPr="00C87210">
              <w:rPr>
                <w:rFonts w:ascii="Calibri" w:hAnsi="Calibri" w:cs="Calibri"/>
              </w:rPr>
              <w:t>Ulaganja</w:t>
            </w:r>
            <w:proofErr w:type="spellEnd"/>
            <w:r w:rsidRPr="00C87210">
              <w:rPr>
                <w:rFonts w:ascii="Calibri" w:hAnsi="Calibri" w:cs="Calibri"/>
              </w:rPr>
              <w:t xml:space="preserve"> </w:t>
            </w:r>
            <w:proofErr w:type="spellStart"/>
            <w:r w:rsidRPr="00C87210">
              <w:rPr>
                <w:rFonts w:ascii="Calibri" w:hAnsi="Calibri" w:cs="Calibri"/>
              </w:rPr>
              <w:t>fonda</w:t>
            </w:r>
            <w:proofErr w:type="spellEnd"/>
            <w:r w:rsidRPr="00C87210">
              <w:rPr>
                <w:rFonts w:ascii="Calibri" w:hAnsi="Calibri" w:cs="Calibri"/>
              </w:rPr>
              <w:t xml:space="preserve"> u HOV </w:t>
            </w:r>
            <w:proofErr w:type="spellStart"/>
            <w:r w:rsidRPr="00C87210">
              <w:rPr>
                <w:rFonts w:ascii="Calibri" w:hAnsi="Calibri" w:cs="Calibri"/>
              </w:rPr>
              <w:t>po</w:t>
            </w:r>
            <w:proofErr w:type="spellEnd"/>
            <w:r w:rsidRPr="00C87210">
              <w:rPr>
                <w:rFonts w:ascii="Calibri" w:hAnsi="Calibri" w:cs="Calibri"/>
              </w:rPr>
              <w:t xml:space="preserve"> </w:t>
            </w:r>
            <w:proofErr w:type="spellStart"/>
            <w:r w:rsidRPr="00C87210">
              <w:rPr>
                <w:rFonts w:ascii="Calibri" w:hAnsi="Calibri" w:cs="Calibri"/>
              </w:rPr>
              <w:t>fer</w:t>
            </w:r>
            <w:proofErr w:type="spellEnd"/>
            <w:r w:rsidRPr="00C87210">
              <w:rPr>
                <w:rFonts w:ascii="Calibri" w:hAnsi="Calibri" w:cs="Calibri"/>
              </w:rPr>
              <w:t xml:space="preserve"> </w:t>
            </w:r>
            <w:proofErr w:type="spellStart"/>
            <w:r w:rsidRPr="00C87210">
              <w:rPr>
                <w:rFonts w:ascii="Calibri" w:hAnsi="Calibri" w:cs="Calibri"/>
              </w:rPr>
              <w:t>vrijednosti</w:t>
            </w:r>
            <w:proofErr w:type="spellEnd"/>
            <w:r w:rsidRPr="00C87210">
              <w:rPr>
                <w:rFonts w:ascii="Calibri" w:hAnsi="Calibri" w:cs="Calibri"/>
              </w:rPr>
              <w:t xml:space="preserve"> </w:t>
            </w:r>
            <w:proofErr w:type="spellStart"/>
            <w:r w:rsidRPr="00C87210">
              <w:rPr>
                <w:rFonts w:ascii="Calibri" w:hAnsi="Calibri" w:cs="Calibri"/>
              </w:rPr>
              <w:t>kroz</w:t>
            </w:r>
            <w:proofErr w:type="spellEnd"/>
            <w:r w:rsidRPr="00C87210">
              <w:rPr>
                <w:rFonts w:ascii="Calibri" w:hAnsi="Calibri" w:cs="Calibri"/>
              </w:rPr>
              <w:t xml:space="preserve"> </w:t>
            </w:r>
            <w:proofErr w:type="spellStart"/>
            <w:r w:rsidRPr="00C87210">
              <w:rPr>
                <w:rFonts w:ascii="Calibri" w:hAnsi="Calibri" w:cs="Calibri"/>
              </w:rPr>
              <w:t>bilans</w:t>
            </w:r>
            <w:proofErr w:type="spellEnd"/>
            <w:r w:rsidRPr="00C87210">
              <w:rPr>
                <w:rFonts w:ascii="Calibri" w:hAnsi="Calibri" w:cs="Calibri"/>
              </w:rPr>
              <w:t xml:space="preserve"> </w:t>
            </w:r>
            <w:proofErr w:type="spellStart"/>
            <w:r w:rsidRPr="00C87210">
              <w:rPr>
                <w:rFonts w:ascii="Calibri" w:hAnsi="Calibri" w:cs="Calibri"/>
              </w:rPr>
              <w:t>uspjeha</w:t>
            </w:r>
            <w:proofErr w:type="spellEnd"/>
          </w:p>
        </w:tc>
        <w:tc>
          <w:tcPr>
            <w:tcW w:w="2807" w:type="dxa"/>
            <w:tcBorders>
              <w:top w:val="nil"/>
              <w:left w:val="nil"/>
              <w:bottom w:val="nil"/>
              <w:right w:val="nil"/>
            </w:tcBorders>
            <w:shd w:val="clear" w:color="000000" w:fill="FFFFFF"/>
            <w:noWrap/>
            <w:vAlign w:val="bottom"/>
            <w:hideMark/>
          </w:tcPr>
          <w:p w:rsidR="00345DA0" w:rsidRPr="00C87210" w:rsidRDefault="00345DA0" w:rsidP="00B71FDC">
            <w:pPr>
              <w:jc w:val="right"/>
              <w:rPr>
                <w:rFonts w:ascii="Calibri" w:hAnsi="Calibri" w:cs="Calibri"/>
              </w:rPr>
            </w:pPr>
            <w:r w:rsidRPr="00C87210">
              <w:rPr>
                <w:rFonts w:ascii="Calibri" w:hAnsi="Calibri" w:cs="Calibri"/>
              </w:rPr>
              <w:t>223.106</w:t>
            </w:r>
          </w:p>
        </w:tc>
        <w:tc>
          <w:tcPr>
            <w:tcW w:w="1896" w:type="dxa"/>
            <w:tcBorders>
              <w:top w:val="nil"/>
              <w:left w:val="nil"/>
              <w:bottom w:val="nil"/>
              <w:right w:val="nil"/>
            </w:tcBorders>
            <w:shd w:val="clear" w:color="000000" w:fill="FFFFFF"/>
            <w:noWrap/>
            <w:vAlign w:val="bottom"/>
            <w:hideMark/>
          </w:tcPr>
          <w:p w:rsidR="00345DA0" w:rsidRPr="00C87210" w:rsidRDefault="00345DA0" w:rsidP="00B71FDC">
            <w:pPr>
              <w:jc w:val="right"/>
              <w:rPr>
                <w:rFonts w:ascii="Calibri" w:hAnsi="Calibri" w:cs="Calibri"/>
              </w:rPr>
            </w:pPr>
            <w:r w:rsidRPr="00C87210">
              <w:rPr>
                <w:rFonts w:ascii="Calibri" w:hAnsi="Calibri" w:cs="Calibri"/>
              </w:rPr>
              <w:t> -</w:t>
            </w:r>
          </w:p>
        </w:tc>
      </w:tr>
      <w:tr w:rsidR="00345DA0" w:rsidRPr="00C87210" w:rsidTr="00345DA0">
        <w:trPr>
          <w:trHeight w:val="548"/>
        </w:trPr>
        <w:tc>
          <w:tcPr>
            <w:tcW w:w="3559" w:type="dxa"/>
            <w:tcBorders>
              <w:top w:val="nil"/>
              <w:left w:val="nil"/>
              <w:bottom w:val="nil"/>
              <w:right w:val="nil"/>
            </w:tcBorders>
            <w:shd w:val="clear" w:color="000000" w:fill="FFFFFF"/>
            <w:vAlign w:val="bottom"/>
            <w:hideMark/>
          </w:tcPr>
          <w:p w:rsidR="00345DA0" w:rsidRPr="00C87210" w:rsidRDefault="00345DA0" w:rsidP="002D1B63">
            <w:pPr>
              <w:rPr>
                <w:rFonts w:ascii="Calibri" w:hAnsi="Calibri" w:cs="Calibri"/>
              </w:rPr>
            </w:pPr>
            <w:proofErr w:type="spellStart"/>
            <w:r w:rsidRPr="00C87210">
              <w:rPr>
                <w:rFonts w:ascii="Calibri" w:hAnsi="Calibri" w:cs="Calibri"/>
              </w:rPr>
              <w:t>Ispravka</w:t>
            </w:r>
            <w:proofErr w:type="spellEnd"/>
            <w:r w:rsidRPr="00C87210">
              <w:rPr>
                <w:rFonts w:ascii="Calibri" w:hAnsi="Calibri" w:cs="Calibri"/>
              </w:rPr>
              <w:t xml:space="preserve"> </w:t>
            </w:r>
            <w:proofErr w:type="spellStart"/>
            <w:r w:rsidRPr="00C87210">
              <w:rPr>
                <w:rFonts w:ascii="Calibri" w:hAnsi="Calibri" w:cs="Calibri"/>
              </w:rPr>
              <w:t>vrijednosti</w:t>
            </w:r>
            <w:proofErr w:type="spellEnd"/>
            <w:r w:rsidRPr="00C87210">
              <w:rPr>
                <w:rFonts w:ascii="Calibri" w:hAnsi="Calibri" w:cs="Calibri"/>
              </w:rPr>
              <w:t xml:space="preserve"> </w:t>
            </w:r>
            <w:proofErr w:type="spellStart"/>
            <w:r w:rsidRPr="00C87210">
              <w:rPr>
                <w:rFonts w:ascii="Calibri" w:hAnsi="Calibri" w:cs="Calibri"/>
              </w:rPr>
              <w:t>ulaganja</w:t>
            </w:r>
            <w:proofErr w:type="spellEnd"/>
            <w:r w:rsidRPr="00C87210">
              <w:rPr>
                <w:rFonts w:ascii="Calibri" w:hAnsi="Calibri" w:cs="Calibri"/>
              </w:rPr>
              <w:t xml:space="preserve"> u HOV </w:t>
            </w:r>
            <w:proofErr w:type="spellStart"/>
            <w:r w:rsidRPr="00C87210">
              <w:rPr>
                <w:rFonts w:ascii="Calibri" w:hAnsi="Calibri" w:cs="Calibri"/>
              </w:rPr>
              <w:t>po</w:t>
            </w:r>
            <w:proofErr w:type="spellEnd"/>
            <w:r w:rsidRPr="00C87210">
              <w:rPr>
                <w:rFonts w:ascii="Calibri" w:hAnsi="Calibri" w:cs="Calibri"/>
              </w:rPr>
              <w:t xml:space="preserve"> </w:t>
            </w:r>
            <w:proofErr w:type="spellStart"/>
            <w:r w:rsidRPr="00C87210">
              <w:rPr>
                <w:rFonts w:ascii="Calibri" w:hAnsi="Calibri" w:cs="Calibri"/>
              </w:rPr>
              <w:t>fer</w:t>
            </w:r>
            <w:proofErr w:type="spellEnd"/>
            <w:r w:rsidRPr="00C87210">
              <w:rPr>
                <w:rFonts w:ascii="Calibri" w:hAnsi="Calibri" w:cs="Calibri"/>
              </w:rPr>
              <w:t xml:space="preserve"> </w:t>
            </w:r>
            <w:proofErr w:type="spellStart"/>
            <w:r w:rsidRPr="00C87210">
              <w:rPr>
                <w:rFonts w:ascii="Calibri" w:hAnsi="Calibri" w:cs="Calibri"/>
              </w:rPr>
              <w:t>vrijednosti</w:t>
            </w:r>
            <w:proofErr w:type="spellEnd"/>
            <w:r w:rsidRPr="00C87210">
              <w:rPr>
                <w:rFonts w:ascii="Calibri" w:hAnsi="Calibri" w:cs="Calibri"/>
              </w:rPr>
              <w:t xml:space="preserve"> </w:t>
            </w:r>
            <w:proofErr w:type="spellStart"/>
            <w:r w:rsidRPr="00C87210">
              <w:rPr>
                <w:rFonts w:ascii="Calibri" w:hAnsi="Calibri" w:cs="Calibri"/>
              </w:rPr>
              <w:t>kroz</w:t>
            </w:r>
            <w:proofErr w:type="spellEnd"/>
            <w:r w:rsidRPr="00C87210">
              <w:rPr>
                <w:rFonts w:ascii="Calibri" w:hAnsi="Calibri" w:cs="Calibri"/>
              </w:rPr>
              <w:t xml:space="preserve"> </w:t>
            </w:r>
            <w:proofErr w:type="spellStart"/>
            <w:r w:rsidRPr="00C87210">
              <w:rPr>
                <w:rFonts w:ascii="Calibri" w:hAnsi="Calibri" w:cs="Calibri"/>
              </w:rPr>
              <w:t>bilans</w:t>
            </w:r>
            <w:proofErr w:type="spellEnd"/>
            <w:r w:rsidRPr="00C87210">
              <w:rPr>
                <w:rFonts w:ascii="Calibri" w:hAnsi="Calibri" w:cs="Calibri"/>
              </w:rPr>
              <w:t xml:space="preserve"> </w:t>
            </w:r>
            <w:proofErr w:type="spellStart"/>
            <w:r w:rsidRPr="00C87210">
              <w:rPr>
                <w:rFonts w:ascii="Calibri" w:hAnsi="Calibri" w:cs="Calibri"/>
              </w:rPr>
              <w:t>uspjeha</w:t>
            </w:r>
            <w:proofErr w:type="spellEnd"/>
          </w:p>
        </w:tc>
        <w:tc>
          <w:tcPr>
            <w:tcW w:w="2807" w:type="dxa"/>
            <w:tcBorders>
              <w:top w:val="nil"/>
              <w:left w:val="nil"/>
              <w:bottom w:val="nil"/>
              <w:right w:val="nil"/>
            </w:tcBorders>
            <w:shd w:val="clear" w:color="000000" w:fill="FFFFFF"/>
            <w:noWrap/>
            <w:vAlign w:val="bottom"/>
            <w:hideMark/>
          </w:tcPr>
          <w:p w:rsidR="00345DA0" w:rsidRPr="00C87210" w:rsidRDefault="00345DA0" w:rsidP="00B71FDC">
            <w:pPr>
              <w:jc w:val="right"/>
              <w:rPr>
                <w:rFonts w:ascii="Calibri" w:hAnsi="Calibri" w:cs="Calibri"/>
              </w:rPr>
            </w:pPr>
            <w:r w:rsidRPr="00C87210">
              <w:rPr>
                <w:rFonts w:ascii="Calibri" w:hAnsi="Calibri" w:cs="Calibri"/>
              </w:rPr>
              <w:t xml:space="preserve">                                      128.135      </w:t>
            </w:r>
          </w:p>
        </w:tc>
        <w:tc>
          <w:tcPr>
            <w:tcW w:w="1896" w:type="dxa"/>
            <w:tcBorders>
              <w:top w:val="nil"/>
              <w:left w:val="nil"/>
              <w:bottom w:val="nil"/>
              <w:right w:val="nil"/>
            </w:tcBorders>
            <w:shd w:val="clear" w:color="000000" w:fill="FFFFFF"/>
            <w:noWrap/>
            <w:vAlign w:val="bottom"/>
            <w:hideMark/>
          </w:tcPr>
          <w:p w:rsidR="00345DA0" w:rsidRPr="00C87210" w:rsidRDefault="00345DA0" w:rsidP="002D1B63">
            <w:pPr>
              <w:rPr>
                <w:rFonts w:ascii="Calibri" w:hAnsi="Calibri" w:cs="Calibri"/>
              </w:rPr>
            </w:pPr>
            <w:r w:rsidRPr="00C87210">
              <w:rPr>
                <w:rFonts w:ascii="Calibri" w:hAnsi="Calibri" w:cs="Calibri"/>
              </w:rPr>
              <w:t> </w:t>
            </w:r>
          </w:p>
        </w:tc>
      </w:tr>
      <w:tr w:rsidR="00345DA0" w:rsidRPr="00C87210" w:rsidTr="00345DA0">
        <w:trPr>
          <w:trHeight w:val="376"/>
        </w:trPr>
        <w:tc>
          <w:tcPr>
            <w:tcW w:w="3559" w:type="dxa"/>
            <w:tcBorders>
              <w:top w:val="nil"/>
              <w:left w:val="nil"/>
              <w:bottom w:val="nil"/>
              <w:right w:val="nil"/>
            </w:tcBorders>
            <w:shd w:val="clear" w:color="000000" w:fill="FFFFFF"/>
            <w:noWrap/>
            <w:vAlign w:val="bottom"/>
            <w:hideMark/>
          </w:tcPr>
          <w:p w:rsidR="00345DA0" w:rsidRPr="00C87210" w:rsidRDefault="00345DA0" w:rsidP="002D1B63">
            <w:pPr>
              <w:rPr>
                <w:rFonts w:ascii="Calibri" w:hAnsi="Calibri" w:cs="Calibri"/>
              </w:rPr>
            </w:pPr>
            <w:r w:rsidRPr="00C87210">
              <w:rPr>
                <w:rFonts w:ascii="Calibri" w:hAnsi="Calibri" w:cs="Calibri"/>
              </w:rPr>
              <w:t> </w:t>
            </w:r>
          </w:p>
        </w:tc>
        <w:tc>
          <w:tcPr>
            <w:tcW w:w="2807" w:type="dxa"/>
            <w:tcBorders>
              <w:top w:val="nil"/>
              <w:left w:val="nil"/>
              <w:bottom w:val="nil"/>
              <w:right w:val="nil"/>
            </w:tcBorders>
            <w:shd w:val="clear" w:color="000000" w:fill="FFFFFF"/>
            <w:noWrap/>
            <w:vAlign w:val="bottom"/>
            <w:hideMark/>
          </w:tcPr>
          <w:p w:rsidR="00345DA0" w:rsidRPr="00C87210" w:rsidRDefault="00345DA0" w:rsidP="002D1B63">
            <w:pPr>
              <w:rPr>
                <w:rFonts w:ascii="Calibri" w:hAnsi="Calibri" w:cs="Calibri"/>
              </w:rPr>
            </w:pPr>
            <w:r w:rsidRPr="00C87210">
              <w:rPr>
                <w:rFonts w:ascii="Calibri" w:hAnsi="Calibri" w:cs="Calibri"/>
              </w:rPr>
              <w:t> </w:t>
            </w:r>
          </w:p>
        </w:tc>
        <w:tc>
          <w:tcPr>
            <w:tcW w:w="1896" w:type="dxa"/>
            <w:tcBorders>
              <w:top w:val="nil"/>
              <w:left w:val="nil"/>
              <w:bottom w:val="nil"/>
              <w:right w:val="nil"/>
            </w:tcBorders>
            <w:shd w:val="clear" w:color="000000" w:fill="FFFFFF"/>
            <w:noWrap/>
            <w:vAlign w:val="bottom"/>
            <w:hideMark/>
          </w:tcPr>
          <w:p w:rsidR="00345DA0" w:rsidRPr="00C87210" w:rsidRDefault="00345DA0" w:rsidP="002D1B63">
            <w:pPr>
              <w:rPr>
                <w:rFonts w:ascii="Calibri" w:hAnsi="Calibri" w:cs="Calibri"/>
              </w:rPr>
            </w:pPr>
            <w:r w:rsidRPr="00C87210">
              <w:rPr>
                <w:rFonts w:ascii="Calibri" w:hAnsi="Calibri" w:cs="Calibri"/>
              </w:rPr>
              <w:t> </w:t>
            </w:r>
          </w:p>
        </w:tc>
      </w:tr>
      <w:tr w:rsidR="00345DA0" w:rsidRPr="00C87210" w:rsidTr="00345DA0">
        <w:trPr>
          <w:trHeight w:val="376"/>
        </w:trPr>
        <w:tc>
          <w:tcPr>
            <w:tcW w:w="3559" w:type="dxa"/>
            <w:tcBorders>
              <w:top w:val="nil"/>
              <w:left w:val="nil"/>
              <w:bottom w:val="nil"/>
              <w:right w:val="nil"/>
            </w:tcBorders>
            <w:shd w:val="clear" w:color="000000" w:fill="FFFFFF"/>
            <w:noWrap/>
            <w:vAlign w:val="bottom"/>
            <w:hideMark/>
          </w:tcPr>
          <w:p w:rsidR="00345DA0" w:rsidRPr="00C87210" w:rsidRDefault="00345DA0" w:rsidP="00345DA0">
            <w:pPr>
              <w:rPr>
                <w:rFonts w:ascii="Calibri" w:hAnsi="Calibri" w:cs="Calibri"/>
                <w:b/>
                <w:bCs/>
              </w:rPr>
            </w:pPr>
            <w:proofErr w:type="spellStart"/>
            <w:proofErr w:type="gramStart"/>
            <w:r w:rsidRPr="00C87210">
              <w:rPr>
                <w:rFonts w:ascii="Calibri" w:hAnsi="Calibri" w:cs="Calibri"/>
                <w:b/>
                <w:bCs/>
              </w:rPr>
              <w:t>na</w:t>
            </w:r>
            <w:proofErr w:type="spellEnd"/>
            <w:proofErr w:type="gramEnd"/>
            <w:r w:rsidRPr="00C87210">
              <w:rPr>
                <w:rFonts w:ascii="Calibri" w:hAnsi="Calibri" w:cs="Calibri"/>
                <w:b/>
                <w:bCs/>
              </w:rPr>
              <w:t xml:space="preserve"> </w:t>
            </w:r>
            <w:proofErr w:type="spellStart"/>
            <w:r w:rsidRPr="00C87210">
              <w:rPr>
                <w:rFonts w:ascii="Calibri" w:hAnsi="Calibri" w:cs="Calibri"/>
                <w:b/>
                <w:bCs/>
              </w:rPr>
              <w:t>dan</w:t>
            </w:r>
            <w:proofErr w:type="spellEnd"/>
            <w:r w:rsidRPr="00C87210">
              <w:rPr>
                <w:rFonts w:ascii="Calibri" w:hAnsi="Calibri" w:cs="Calibri"/>
                <w:b/>
                <w:bCs/>
              </w:rPr>
              <w:t xml:space="preserve"> 31. mart 2021</w:t>
            </w:r>
          </w:p>
        </w:tc>
        <w:tc>
          <w:tcPr>
            <w:tcW w:w="2807" w:type="dxa"/>
            <w:tcBorders>
              <w:top w:val="nil"/>
              <w:left w:val="nil"/>
              <w:bottom w:val="nil"/>
              <w:right w:val="nil"/>
            </w:tcBorders>
            <w:shd w:val="clear" w:color="000000" w:fill="FFFFFF"/>
            <w:noWrap/>
            <w:vAlign w:val="bottom"/>
            <w:hideMark/>
          </w:tcPr>
          <w:p w:rsidR="00345DA0" w:rsidRPr="00C87210" w:rsidRDefault="00345DA0" w:rsidP="00345DA0">
            <w:pPr>
              <w:jc w:val="right"/>
              <w:rPr>
                <w:rFonts w:ascii="Calibri" w:hAnsi="Calibri" w:cs="Calibri"/>
                <w:b/>
                <w:bCs/>
                <w:u w:val="single"/>
              </w:rPr>
            </w:pPr>
            <w:r w:rsidRPr="00C87210">
              <w:rPr>
                <w:rFonts w:ascii="Calibri" w:hAnsi="Calibri" w:cs="Calibri"/>
                <w:b/>
                <w:bCs/>
                <w:u w:val="single"/>
              </w:rPr>
              <w:t xml:space="preserve">               731.118</w:t>
            </w:r>
          </w:p>
        </w:tc>
        <w:tc>
          <w:tcPr>
            <w:tcW w:w="1896" w:type="dxa"/>
            <w:tcBorders>
              <w:top w:val="nil"/>
              <w:left w:val="nil"/>
              <w:bottom w:val="nil"/>
              <w:right w:val="nil"/>
            </w:tcBorders>
            <w:shd w:val="clear" w:color="000000" w:fill="FFFFFF"/>
            <w:noWrap/>
            <w:vAlign w:val="bottom"/>
            <w:hideMark/>
          </w:tcPr>
          <w:p w:rsidR="00345DA0" w:rsidRPr="00C87210" w:rsidRDefault="00345DA0" w:rsidP="00D161F7">
            <w:pPr>
              <w:rPr>
                <w:rFonts w:ascii="Calibri" w:hAnsi="Calibri" w:cs="Calibri"/>
                <w:b/>
                <w:bCs/>
                <w:u w:val="single"/>
              </w:rPr>
            </w:pPr>
            <w:r w:rsidRPr="00C87210">
              <w:rPr>
                <w:rFonts w:ascii="Calibri" w:hAnsi="Calibri" w:cs="Calibri"/>
                <w:b/>
                <w:bCs/>
                <w:u w:val="single"/>
              </w:rPr>
              <w:t xml:space="preserve">                    </w:t>
            </w:r>
            <w:r w:rsidR="00D161F7" w:rsidRPr="00C87210">
              <w:rPr>
                <w:rFonts w:ascii="Calibri" w:hAnsi="Calibri" w:cs="Calibri"/>
                <w:b/>
                <w:bCs/>
                <w:u w:val="single"/>
              </w:rPr>
              <w:t>764.739</w:t>
            </w:r>
            <w:r w:rsidRPr="00C87210">
              <w:rPr>
                <w:rFonts w:ascii="Calibri" w:hAnsi="Calibri" w:cs="Calibri"/>
                <w:b/>
                <w:bCs/>
                <w:u w:val="single"/>
              </w:rPr>
              <w:t xml:space="preserve"> </w:t>
            </w:r>
          </w:p>
        </w:tc>
      </w:tr>
    </w:tbl>
    <w:p w:rsidR="00C87210" w:rsidRPr="00A47E7E" w:rsidRDefault="00C87210" w:rsidP="00A1534D">
      <w:pPr>
        <w:tabs>
          <w:tab w:val="left" w:pos="-1440"/>
          <w:tab w:val="left" w:pos="-720"/>
          <w:tab w:val="left" w:pos="889"/>
          <w:tab w:val="left" w:pos="1231"/>
          <w:tab w:val="right" w:pos="8960"/>
        </w:tabs>
        <w:jc w:val="center"/>
        <w:rPr>
          <w:rFonts w:ascii="Calibri" w:hAnsi="Calibri" w:cs="Calibri"/>
        </w:rPr>
      </w:pPr>
    </w:p>
    <w:p w:rsidR="002A3CF5" w:rsidRDefault="002A3CF5" w:rsidP="002A3CF5">
      <w:pPr>
        <w:tabs>
          <w:tab w:val="left" w:pos="-1440"/>
          <w:tab w:val="left" w:pos="-720"/>
          <w:tab w:val="left" w:pos="0"/>
          <w:tab w:val="left" w:pos="709"/>
          <w:tab w:val="left" w:pos="889"/>
          <w:tab w:val="left" w:pos="1094"/>
          <w:tab w:val="left" w:pos="4514"/>
          <w:tab w:val="right" w:pos="5472"/>
          <w:tab w:val="left" w:pos="5677"/>
          <w:tab w:val="right" w:pos="6635"/>
          <w:tab w:val="left" w:pos="6840"/>
          <w:tab w:val="right" w:pos="7729"/>
          <w:tab w:val="left" w:pos="7934"/>
          <w:tab w:val="right" w:pos="8960"/>
        </w:tabs>
        <w:suppressAutoHyphens/>
        <w:jc w:val="both"/>
        <w:rPr>
          <w:rFonts w:ascii="Calibri" w:hAnsi="Calibri" w:cs="Calibri"/>
          <w:noProof/>
          <w:lang w:val="sr-Latn-CS"/>
        </w:rPr>
      </w:pPr>
      <w:r w:rsidRPr="002D6A6A">
        <w:rPr>
          <w:rFonts w:ascii="Calibri" w:hAnsi="Calibri" w:cs="Calibri"/>
          <w:noProof/>
          <w:lang w:val="sr-Latn-CS"/>
        </w:rPr>
        <w:t xml:space="preserve">Najznačajnija ulaganja u HOV koje su </w:t>
      </w:r>
      <w:r w:rsidR="002727B6">
        <w:rPr>
          <w:rFonts w:ascii="Calibri" w:hAnsi="Calibri" w:cs="Calibri"/>
          <w:noProof/>
          <w:lang w:val="sr-Latn-CS"/>
        </w:rPr>
        <w:t>raspoložive za prodaju na dan 31</w:t>
      </w:r>
      <w:r w:rsidRPr="002D6A6A">
        <w:rPr>
          <w:rFonts w:ascii="Calibri" w:hAnsi="Calibri" w:cs="Calibri"/>
          <w:noProof/>
          <w:lang w:val="sr-Latn-CS"/>
        </w:rPr>
        <w:t xml:space="preserve">. </w:t>
      </w:r>
      <w:r w:rsidR="007C402E">
        <w:rPr>
          <w:rFonts w:ascii="Calibri" w:hAnsi="Calibri" w:cs="Calibri"/>
          <w:noProof/>
          <w:lang w:val="sr-Latn-CS"/>
        </w:rPr>
        <w:t>03. 2021</w:t>
      </w:r>
      <w:r w:rsidRPr="002D6A6A">
        <w:rPr>
          <w:rFonts w:ascii="Calibri" w:hAnsi="Calibri" w:cs="Calibri"/>
          <w:noProof/>
          <w:lang w:val="sr-Latn-CS"/>
        </w:rPr>
        <w:t>. godine su:</w:t>
      </w:r>
    </w:p>
    <w:p w:rsidR="00CE590E" w:rsidRDefault="00CE590E" w:rsidP="002A3CF5">
      <w:pPr>
        <w:tabs>
          <w:tab w:val="left" w:pos="-1440"/>
          <w:tab w:val="left" w:pos="-720"/>
          <w:tab w:val="left" w:pos="0"/>
          <w:tab w:val="left" w:pos="709"/>
          <w:tab w:val="left" w:pos="889"/>
          <w:tab w:val="left" w:pos="1094"/>
          <w:tab w:val="left" w:pos="4514"/>
          <w:tab w:val="right" w:pos="5472"/>
          <w:tab w:val="left" w:pos="5677"/>
          <w:tab w:val="right" w:pos="6635"/>
          <w:tab w:val="left" w:pos="6840"/>
          <w:tab w:val="right" w:pos="7729"/>
          <w:tab w:val="left" w:pos="7934"/>
          <w:tab w:val="right" w:pos="8960"/>
        </w:tabs>
        <w:suppressAutoHyphens/>
        <w:jc w:val="both"/>
        <w:rPr>
          <w:rFonts w:ascii="Calibri" w:hAnsi="Calibri" w:cs="Calibri"/>
          <w:noProof/>
          <w:lang w:val="sr-Latn-CS"/>
        </w:rPr>
      </w:pPr>
    </w:p>
    <w:tbl>
      <w:tblPr>
        <w:tblW w:w="8702" w:type="dxa"/>
        <w:tblInd w:w="93" w:type="dxa"/>
        <w:tblLook w:val="04A0" w:firstRow="1" w:lastRow="0" w:firstColumn="1" w:lastColumn="0" w:noHBand="0" w:noVBand="1"/>
      </w:tblPr>
      <w:tblGrid>
        <w:gridCol w:w="5649"/>
        <w:gridCol w:w="1128"/>
        <w:gridCol w:w="1046"/>
        <w:gridCol w:w="879"/>
      </w:tblGrid>
      <w:tr w:rsidR="00CE590E" w:rsidTr="00CE590E">
        <w:trPr>
          <w:trHeight w:val="1035"/>
        </w:trPr>
        <w:tc>
          <w:tcPr>
            <w:tcW w:w="5649" w:type="dxa"/>
            <w:tcBorders>
              <w:top w:val="nil"/>
              <w:left w:val="nil"/>
              <w:bottom w:val="nil"/>
              <w:right w:val="nil"/>
            </w:tcBorders>
            <w:shd w:val="clear" w:color="000000" w:fill="FFFFFF"/>
            <w:noWrap/>
            <w:vAlign w:val="center"/>
            <w:hideMark/>
          </w:tcPr>
          <w:p w:rsidR="00CE590E" w:rsidRDefault="00CE590E">
            <w:pPr>
              <w:rPr>
                <w:rFonts w:ascii="Calibri" w:hAnsi="Calibri" w:cs="Calibri"/>
                <w:i/>
                <w:iCs/>
                <w:color w:val="000000"/>
                <w:sz w:val="20"/>
                <w:szCs w:val="20"/>
              </w:rPr>
            </w:pPr>
            <w:r>
              <w:rPr>
                <w:rFonts w:ascii="Calibri" w:hAnsi="Calibri" w:cs="Calibri"/>
                <w:i/>
                <w:iCs/>
                <w:color w:val="000000"/>
                <w:sz w:val="20"/>
                <w:szCs w:val="20"/>
                <w:lang w:val="sr-Latn-BA"/>
              </w:rPr>
              <w:t> </w:t>
            </w:r>
          </w:p>
        </w:tc>
        <w:tc>
          <w:tcPr>
            <w:tcW w:w="1128" w:type="dxa"/>
            <w:tcBorders>
              <w:top w:val="single" w:sz="8" w:space="0" w:color="auto"/>
              <w:left w:val="nil"/>
              <w:bottom w:val="nil"/>
              <w:right w:val="nil"/>
            </w:tcBorders>
            <w:shd w:val="clear" w:color="000000" w:fill="FFFFFF"/>
            <w:vAlign w:val="center"/>
            <w:hideMark/>
          </w:tcPr>
          <w:p w:rsidR="00CE590E" w:rsidRDefault="00CE590E">
            <w:pPr>
              <w:jc w:val="center"/>
              <w:rPr>
                <w:rFonts w:ascii="Calibri" w:hAnsi="Calibri" w:cs="Calibri"/>
                <w:b/>
                <w:bCs/>
                <w:i/>
                <w:iCs/>
                <w:color w:val="000000"/>
                <w:sz w:val="20"/>
                <w:szCs w:val="20"/>
              </w:rPr>
            </w:pPr>
            <w:r>
              <w:rPr>
                <w:rFonts w:ascii="Calibri" w:hAnsi="Calibri" w:cs="Calibri"/>
                <w:b/>
                <w:bCs/>
                <w:i/>
                <w:iCs/>
                <w:color w:val="000000"/>
                <w:sz w:val="20"/>
                <w:szCs w:val="20"/>
                <w:lang w:val="sr-Latn-BA"/>
              </w:rPr>
              <w:t>Fer vrijednost</w:t>
            </w:r>
          </w:p>
        </w:tc>
        <w:tc>
          <w:tcPr>
            <w:tcW w:w="1046" w:type="dxa"/>
            <w:tcBorders>
              <w:top w:val="single" w:sz="8" w:space="0" w:color="auto"/>
              <w:left w:val="nil"/>
              <w:bottom w:val="nil"/>
              <w:right w:val="nil"/>
            </w:tcBorders>
            <w:shd w:val="clear" w:color="000000" w:fill="FFFFFF"/>
            <w:vAlign w:val="center"/>
            <w:hideMark/>
          </w:tcPr>
          <w:p w:rsidR="00CE590E" w:rsidRDefault="00CE590E">
            <w:pPr>
              <w:jc w:val="center"/>
              <w:rPr>
                <w:rFonts w:ascii="Calibri" w:hAnsi="Calibri" w:cs="Calibri"/>
                <w:b/>
                <w:bCs/>
                <w:i/>
                <w:iCs/>
                <w:color w:val="000000"/>
                <w:sz w:val="20"/>
                <w:szCs w:val="20"/>
              </w:rPr>
            </w:pPr>
            <w:r>
              <w:rPr>
                <w:rFonts w:ascii="Calibri" w:hAnsi="Calibri" w:cs="Calibri"/>
                <w:b/>
                <w:bCs/>
                <w:i/>
                <w:iCs/>
                <w:color w:val="000000"/>
                <w:sz w:val="20"/>
                <w:szCs w:val="20"/>
                <w:lang w:val="sr-Latn-BA"/>
              </w:rPr>
              <w:t xml:space="preserve">% vlasništva u kapitalu emitenta </w:t>
            </w:r>
          </w:p>
        </w:tc>
        <w:tc>
          <w:tcPr>
            <w:tcW w:w="879" w:type="dxa"/>
            <w:tcBorders>
              <w:top w:val="single" w:sz="8" w:space="0" w:color="auto"/>
              <w:left w:val="nil"/>
              <w:bottom w:val="nil"/>
              <w:right w:val="nil"/>
            </w:tcBorders>
            <w:shd w:val="clear" w:color="000000" w:fill="FFFFFF"/>
            <w:vAlign w:val="center"/>
            <w:hideMark/>
          </w:tcPr>
          <w:p w:rsidR="00CE590E" w:rsidRDefault="00CE590E">
            <w:pPr>
              <w:jc w:val="center"/>
              <w:rPr>
                <w:rFonts w:ascii="Calibri" w:hAnsi="Calibri" w:cs="Calibri"/>
                <w:b/>
                <w:bCs/>
                <w:i/>
                <w:iCs/>
                <w:color w:val="000000"/>
                <w:sz w:val="20"/>
                <w:szCs w:val="20"/>
              </w:rPr>
            </w:pPr>
            <w:r>
              <w:rPr>
                <w:rFonts w:ascii="Calibri" w:hAnsi="Calibri" w:cs="Calibri"/>
                <w:b/>
                <w:bCs/>
                <w:i/>
                <w:iCs/>
                <w:color w:val="000000"/>
                <w:sz w:val="20"/>
                <w:szCs w:val="20"/>
                <w:lang w:val="sr-Latn-BA"/>
              </w:rPr>
              <w:t>% ukupne imovine Fonda</w:t>
            </w:r>
          </w:p>
        </w:tc>
      </w:tr>
      <w:tr w:rsidR="00CE590E" w:rsidTr="00CE590E">
        <w:trPr>
          <w:trHeight w:val="300"/>
        </w:trPr>
        <w:tc>
          <w:tcPr>
            <w:tcW w:w="5649" w:type="dxa"/>
            <w:tcBorders>
              <w:top w:val="nil"/>
              <w:left w:val="nil"/>
              <w:bottom w:val="nil"/>
              <w:right w:val="nil"/>
            </w:tcBorders>
            <w:shd w:val="clear" w:color="000000" w:fill="FFFFFF"/>
            <w:noWrap/>
            <w:vAlign w:val="center"/>
            <w:hideMark/>
          </w:tcPr>
          <w:p w:rsidR="00CE590E" w:rsidRDefault="00CE590E">
            <w:pPr>
              <w:rPr>
                <w:rFonts w:ascii="Calibri" w:hAnsi="Calibri" w:cs="Calibri"/>
                <w:color w:val="000000"/>
                <w:sz w:val="20"/>
                <w:szCs w:val="20"/>
              </w:rPr>
            </w:pPr>
            <w:r>
              <w:rPr>
                <w:rFonts w:ascii="Calibri" w:hAnsi="Calibri" w:cs="Calibri"/>
                <w:color w:val="000000"/>
                <w:sz w:val="20"/>
                <w:szCs w:val="20"/>
                <w:lang w:val="sr-Latn-BA"/>
              </w:rPr>
              <w:t xml:space="preserve">Sarajevo-gas ad, Sarajevo  </w:t>
            </w:r>
          </w:p>
        </w:tc>
        <w:tc>
          <w:tcPr>
            <w:tcW w:w="1128" w:type="dxa"/>
            <w:tcBorders>
              <w:top w:val="nil"/>
              <w:left w:val="nil"/>
              <w:bottom w:val="nil"/>
              <w:right w:val="nil"/>
            </w:tcBorders>
            <w:shd w:val="clear" w:color="000000" w:fill="FFFFFF"/>
            <w:vAlign w:val="center"/>
            <w:hideMark/>
          </w:tcPr>
          <w:p w:rsidR="00CE590E" w:rsidRDefault="007C402E">
            <w:pPr>
              <w:jc w:val="right"/>
              <w:rPr>
                <w:rFonts w:ascii="Calibri" w:hAnsi="Calibri" w:cs="Calibri"/>
                <w:color w:val="000000"/>
                <w:sz w:val="20"/>
                <w:szCs w:val="20"/>
              </w:rPr>
            </w:pPr>
            <w:r>
              <w:rPr>
                <w:rFonts w:ascii="Calibri" w:hAnsi="Calibri" w:cs="Calibri"/>
                <w:color w:val="000000"/>
                <w:sz w:val="20"/>
                <w:szCs w:val="20"/>
                <w:lang w:val="sr-Latn-BA"/>
              </w:rPr>
              <w:t>327.711</w:t>
            </w:r>
          </w:p>
        </w:tc>
        <w:tc>
          <w:tcPr>
            <w:tcW w:w="1046" w:type="dxa"/>
            <w:tcBorders>
              <w:top w:val="nil"/>
              <w:left w:val="nil"/>
              <w:bottom w:val="nil"/>
              <w:right w:val="nil"/>
            </w:tcBorders>
            <w:shd w:val="clear" w:color="000000" w:fill="FFFFFF"/>
            <w:noWrap/>
            <w:vAlign w:val="center"/>
            <w:hideMark/>
          </w:tcPr>
          <w:p w:rsidR="00CE590E" w:rsidRDefault="00CE590E">
            <w:pPr>
              <w:jc w:val="right"/>
              <w:rPr>
                <w:rFonts w:ascii="Calibri" w:hAnsi="Calibri" w:cs="Calibri"/>
                <w:color w:val="000000"/>
                <w:sz w:val="20"/>
                <w:szCs w:val="20"/>
              </w:rPr>
            </w:pPr>
            <w:r>
              <w:rPr>
                <w:rFonts w:ascii="Calibri" w:hAnsi="Calibri" w:cs="Calibri"/>
                <w:color w:val="000000"/>
                <w:sz w:val="20"/>
                <w:szCs w:val="20"/>
                <w:lang w:val="sr-Latn-BA"/>
              </w:rPr>
              <w:t>9,99%</w:t>
            </w:r>
          </w:p>
        </w:tc>
        <w:tc>
          <w:tcPr>
            <w:tcW w:w="879" w:type="dxa"/>
            <w:tcBorders>
              <w:top w:val="nil"/>
              <w:left w:val="nil"/>
              <w:bottom w:val="nil"/>
              <w:right w:val="nil"/>
            </w:tcBorders>
            <w:shd w:val="clear" w:color="000000" w:fill="FFFFFF"/>
            <w:noWrap/>
            <w:vAlign w:val="center"/>
            <w:hideMark/>
          </w:tcPr>
          <w:p w:rsidR="00CE590E" w:rsidRDefault="007C402E">
            <w:pPr>
              <w:jc w:val="right"/>
              <w:rPr>
                <w:rFonts w:ascii="Calibri" w:hAnsi="Calibri" w:cs="Calibri"/>
                <w:color w:val="000000"/>
                <w:sz w:val="20"/>
                <w:szCs w:val="20"/>
              </w:rPr>
            </w:pPr>
            <w:r>
              <w:rPr>
                <w:rFonts w:ascii="Calibri" w:hAnsi="Calibri" w:cs="Calibri"/>
                <w:color w:val="000000"/>
                <w:sz w:val="20"/>
                <w:szCs w:val="20"/>
                <w:lang w:val="sr-Latn-BA"/>
              </w:rPr>
              <w:t>16,79</w:t>
            </w:r>
            <w:r w:rsidR="00CE590E">
              <w:rPr>
                <w:rFonts w:ascii="Calibri" w:hAnsi="Calibri" w:cs="Calibri"/>
                <w:color w:val="000000"/>
                <w:sz w:val="20"/>
                <w:szCs w:val="20"/>
                <w:lang w:val="sr-Latn-BA"/>
              </w:rPr>
              <w:t>%</w:t>
            </w:r>
          </w:p>
        </w:tc>
      </w:tr>
      <w:tr w:rsidR="00CE590E" w:rsidTr="00CE590E">
        <w:trPr>
          <w:trHeight w:val="300"/>
        </w:trPr>
        <w:tc>
          <w:tcPr>
            <w:tcW w:w="5649" w:type="dxa"/>
            <w:tcBorders>
              <w:top w:val="nil"/>
              <w:left w:val="nil"/>
              <w:bottom w:val="nil"/>
              <w:right w:val="nil"/>
            </w:tcBorders>
            <w:shd w:val="clear" w:color="000000" w:fill="FFFFFF"/>
            <w:noWrap/>
            <w:vAlign w:val="center"/>
            <w:hideMark/>
          </w:tcPr>
          <w:p w:rsidR="00CE590E" w:rsidRDefault="00CE590E">
            <w:pPr>
              <w:rPr>
                <w:rFonts w:ascii="Calibri" w:hAnsi="Calibri" w:cs="Calibri"/>
                <w:color w:val="000000"/>
                <w:sz w:val="20"/>
                <w:szCs w:val="20"/>
              </w:rPr>
            </w:pPr>
            <w:r>
              <w:rPr>
                <w:rFonts w:ascii="Calibri" w:hAnsi="Calibri" w:cs="Calibri"/>
                <w:color w:val="000000"/>
                <w:sz w:val="20"/>
                <w:szCs w:val="20"/>
                <w:lang w:val="sr-Latn-BA"/>
              </w:rPr>
              <w:t xml:space="preserve">Dobojinvest ad, Doboj </w:t>
            </w:r>
          </w:p>
        </w:tc>
        <w:tc>
          <w:tcPr>
            <w:tcW w:w="1128" w:type="dxa"/>
            <w:tcBorders>
              <w:top w:val="nil"/>
              <w:left w:val="nil"/>
              <w:bottom w:val="nil"/>
              <w:right w:val="nil"/>
            </w:tcBorders>
            <w:shd w:val="clear" w:color="000000" w:fill="FFFFFF"/>
            <w:vAlign w:val="center"/>
            <w:hideMark/>
          </w:tcPr>
          <w:p w:rsidR="00CE590E" w:rsidRDefault="00CE590E">
            <w:pPr>
              <w:jc w:val="right"/>
              <w:rPr>
                <w:rFonts w:ascii="Calibri" w:hAnsi="Calibri" w:cs="Calibri"/>
                <w:color w:val="000000"/>
                <w:sz w:val="20"/>
                <w:szCs w:val="20"/>
              </w:rPr>
            </w:pPr>
            <w:r>
              <w:rPr>
                <w:rFonts w:ascii="Calibri" w:hAnsi="Calibri" w:cs="Calibri"/>
                <w:color w:val="000000"/>
                <w:sz w:val="20"/>
                <w:szCs w:val="20"/>
                <w:lang w:val="sr-Latn-BA"/>
              </w:rPr>
              <w:t>14.690</w:t>
            </w:r>
          </w:p>
        </w:tc>
        <w:tc>
          <w:tcPr>
            <w:tcW w:w="1046" w:type="dxa"/>
            <w:tcBorders>
              <w:top w:val="nil"/>
              <w:left w:val="nil"/>
              <w:bottom w:val="nil"/>
              <w:right w:val="nil"/>
            </w:tcBorders>
            <w:shd w:val="clear" w:color="000000" w:fill="FFFFFF"/>
            <w:noWrap/>
            <w:vAlign w:val="center"/>
            <w:hideMark/>
          </w:tcPr>
          <w:p w:rsidR="00CE590E" w:rsidRDefault="00CE590E">
            <w:pPr>
              <w:jc w:val="right"/>
              <w:rPr>
                <w:rFonts w:ascii="Calibri" w:hAnsi="Calibri" w:cs="Calibri"/>
                <w:color w:val="000000"/>
                <w:sz w:val="20"/>
                <w:szCs w:val="20"/>
              </w:rPr>
            </w:pPr>
            <w:r>
              <w:rPr>
                <w:rFonts w:ascii="Calibri" w:hAnsi="Calibri" w:cs="Calibri"/>
                <w:color w:val="000000"/>
                <w:sz w:val="20"/>
                <w:szCs w:val="20"/>
                <w:lang w:val="sr-Latn-BA"/>
              </w:rPr>
              <w:t>9,29%</w:t>
            </w:r>
          </w:p>
        </w:tc>
        <w:tc>
          <w:tcPr>
            <w:tcW w:w="879" w:type="dxa"/>
            <w:tcBorders>
              <w:top w:val="nil"/>
              <w:left w:val="nil"/>
              <w:bottom w:val="nil"/>
              <w:right w:val="nil"/>
            </w:tcBorders>
            <w:shd w:val="clear" w:color="000000" w:fill="FFFFFF"/>
            <w:noWrap/>
            <w:vAlign w:val="center"/>
            <w:hideMark/>
          </w:tcPr>
          <w:p w:rsidR="00CE590E" w:rsidRDefault="0066405C" w:rsidP="007C402E">
            <w:pPr>
              <w:jc w:val="right"/>
              <w:rPr>
                <w:rFonts w:ascii="Calibri" w:hAnsi="Calibri" w:cs="Calibri"/>
                <w:color w:val="000000"/>
                <w:sz w:val="20"/>
                <w:szCs w:val="20"/>
              </w:rPr>
            </w:pPr>
            <w:r>
              <w:rPr>
                <w:rFonts w:ascii="Calibri" w:hAnsi="Calibri" w:cs="Calibri"/>
                <w:color w:val="000000"/>
                <w:sz w:val="20"/>
                <w:szCs w:val="20"/>
                <w:lang w:val="sr-Latn-BA"/>
              </w:rPr>
              <w:t>0,</w:t>
            </w:r>
            <w:r w:rsidR="007C402E">
              <w:rPr>
                <w:rFonts w:ascii="Calibri" w:hAnsi="Calibri" w:cs="Calibri"/>
                <w:color w:val="000000"/>
                <w:sz w:val="20"/>
                <w:szCs w:val="20"/>
                <w:lang w:val="sr-Latn-BA"/>
              </w:rPr>
              <w:t>75</w:t>
            </w:r>
            <w:r w:rsidR="00CE590E">
              <w:rPr>
                <w:rFonts w:ascii="Calibri" w:hAnsi="Calibri" w:cs="Calibri"/>
                <w:color w:val="000000"/>
                <w:sz w:val="20"/>
                <w:szCs w:val="20"/>
                <w:lang w:val="sr-Latn-BA"/>
              </w:rPr>
              <w:t>%</w:t>
            </w:r>
          </w:p>
        </w:tc>
      </w:tr>
      <w:tr w:rsidR="00CE590E" w:rsidTr="00CE590E">
        <w:trPr>
          <w:trHeight w:val="300"/>
        </w:trPr>
        <w:tc>
          <w:tcPr>
            <w:tcW w:w="5649" w:type="dxa"/>
            <w:tcBorders>
              <w:top w:val="nil"/>
              <w:left w:val="nil"/>
              <w:bottom w:val="nil"/>
              <w:right w:val="nil"/>
            </w:tcBorders>
            <w:shd w:val="clear" w:color="000000" w:fill="FFFFFF"/>
            <w:noWrap/>
            <w:vAlign w:val="center"/>
            <w:hideMark/>
          </w:tcPr>
          <w:p w:rsidR="00CE590E" w:rsidRDefault="00CE590E">
            <w:pPr>
              <w:rPr>
                <w:rFonts w:ascii="Calibri" w:hAnsi="Calibri" w:cs="Calibri"/>
                <w:color w:val="000000"/>
                <w:sz w:val="20"/>
                <w:szCs w:val="20"/>
                <w:lang w:val="sr-Latn-BA"/>
              </w:rPr>
            </w:pPr>
            <w:r>
              <w:rPr>
                <w:rFonts w:ascii="Calibri" w:hAnsi="Calibri" w:cs="Calibri"/>
                <w:color w:val="000000"/>
                <w:sz w:val="20"/>
                <w:szCs w:val="20"/>
                <w:lang w:val="sr-Latn-BA"/>
              </w:rPr>
              <w:t xml:space="preserve">Duvan ad, Bijeljina  </w:t>
            </w:r>
          </w:p>
          <w:p w:rsidR="002D1B63" w:rsidRDefault="002D1B63">
            <w:pPr>
              <w:rPr>
                <w:rFonts w:ascii="Calibri" w:hAnsi="Calibri" w:cs="Calibri"/>
                <w:color w:val="000000"/>
                <w:sz w:val="20"/>
                <w:szCs w:val="20"/>
                <w:lang w:val="sr-Latn-BA"/>
              </w:rPr>
            </w:pPr>
          </w:p>
          <w:p w:rsidR="002D1B63" w:rsidRDefault="002D1B63">
            <w:pPr>
              <w:rPr>
                <w:rFonts w:ascii="Calibri" w:hAnsi="Calibri" w:cs="Calibri"/>
                <w:color w:val="000000"/>
                <w:sz w:val="20"/>
                <w:szCs w:val="20"/>
              </w:rPr>
            </w:pPr>
          </w:p>
        </w:tc>
        <w:tc>
          <w:tcPr>
            <w:tcW w:w="1128" w:type="dxa"/>
            <w:tcBorders>
              <w:top w:val="nil"/>
              <w:left w:val="nil"/>
              <w:bottom w:val="nil"/>
              <w:right w:val="nil"/>
            </w:tcBorders>
            <w:shd w:val="clear" w:color="000000" w:fill="FFFFFF"/>
            <w:vAlign w:val="center"/>
            <w:hideMark/>
          </w:tcPr>
          <w:p w:rsidR="00CE590E" w:rsidRDefault="00CE590E">
            <w:pPr>
              <w:jc w:val="right"/>
              <w:rPr>
                <w:rFonts w:ascii="Calibri" w:hAnsi="Calibri" w:cs="Calibri"/>
                <w:color w:val="000000"/>
                <w:sz w:val="20"/>
                <w:szCs w:val="20"/>
              </w:rPr>
            </w:pPr>
            <w:r>
              <w:rPr>
                <w:rFonts w:ascii="Calibri" w:hAnsi="Calibri" w:cs="Calibri"/>
                <w:color w:val="000000"/>
                <w:sz w:val="20"/>
                <w:szCs w:val="20"/>
                <w:lang w:val="sr-Latn-BA"/>
              </w:rPr>
              <w:t>8.840</w:t>
            </w:r>
          </w:p>
        </w:tc>
        <w:tc>
          <w:tcPr>
            <w:tcW w:w="1046" w:type="dxa"/>
            <w:tcBorders>
              <w:top w:val="nil"/>
              <w:left w:val="nil"/>
              <w:bottom w:val="nil"/>
              <w:right w:val="nil"/>
            </w:tcBorders>
            <w:shd w:val="clear" w:color="000000" w:fill="FFFFFF"/>
            <w:noWrap/>
            <w:vAlign w:val="center"/>
            <w:hideMark/>
          </w:tcPr>
          <w:p w:rsidR="00CE590E" w:rsidRDefault="00CE590E">
            <w:pPr>
              <w:jc w:val="right"/>
              <w:rPr>
                <w:rFonts w:ascii="Calibri" w:hAnsi="Calibri" w:cs="Calibri"/>
                <w:color w:val="000000"/>
                <w:sz w:val="20"/>
                <w:szCs w:val="20"/>
              </w:rPr>
            </w:pPr>
            <w:r>
              <w:rPr>
                <w:rFonts w:ascii="Calibri" w:hAnsi="Calibri" w:cs="Calibri"/>
                <w:color w:val="000000"/>
                <w:sz w:val="20"/>
                <w:szCs w:val="20"/>
                <w:lang w:val="sr-Latn-BA"/>
              </w:rPr>
              <w:t>0,89%</w:t>
            </w:r>
          </w:p>
        </w:tc>
        <w:tc>
          <w:tcPr>
            <w:tcW w:w="879" w:type="dxa"/>
            <w:tcBorders>
              <w:top w:val="nil"/>
              <w:left w:val="nil"/>
              <w:bottom w:val="nil"/>
              <w:right w:val="nil"/>
            </w:tcBorders>
            <w:shd w:val="clear" w:color="000000" w:fill="FFFFFF"/>
            <w:noWrap/>
            <w:vAlign w:val="center"/>
            <w:hideMark/>
          </w:tcPr>
          <w:p w:rsidR="00CE590E" w:rsidRDefault="007C402E">
            <w:pPr>
              <w:jc w:val="right"/>
              <w:rPr>
                <w:rFonts w:ascii="Calibri" w:hAnsi="Calibri" w:cs="Calibri"/>
                <w:color w:val="000000"/>
                <w:sz w:val="20"/>
                <w:szCs w:val="20"/>
              </w:rPr>
            </w:pPr>
            <w:r>
              <w:rPr>
                <w:rFonts w:ascii="Calibri" w:hAnsi="Calibri" w:cs="Calibri"/>
                <w:color w:val="000000"/>
                <w:sz w:val="20"/>
                <w:szCs w:val="20"/>
                <w:lang w:val="sr-Latn-BA"/>
              </w:rPr>
              <w:t>0,45</w:t>
            </w:r>
            <w:r w:rsidR="00CE590E">
              <w:rPr>
                <w:rFonts w:ascii="Calibri" w:hAnsi="Calibri" w:cs="Calibri"/>
                <w:color w:val="000000"/>
                <w:sz w:val="20"/>
                <w:szCs w:val="20"/>
                <w:lang w:val="sr-Latn-BA"/>
              </w:rPr>
              <w:t>%</w:t>
            </w:r>
          </w:p>
        </w:tc>
      </w:tr>
      <w:tr w:rsidR="00CE590E" w:rsidTr="00CE590E">
        <w:trPr>
          <w:trHeight w:val="300"/>
        </w:trPr>
        <w:tc>
          <w:tcPr>
            <w:tcW w:w="5649" w:type="dxa"/>
            <w:tcBorders>
              <w:top w:val="nil"/>
              <w:left w:val="nil"/>
              <w:bottom w:val="nil"/>
              <w:right w:val="nil"/>
            </w:tcBorders>
            <w:shd w:val="clear" w:color="000000" w:fill="FFFFFF"/>
            <w:noWrap/>
            <w:vAlign w:val="center"/>
            <w:hideMark/>
          </w:tcPr>
          <w:p w:rsidR="00CE590E" w:rsidRDefault="00CE590E">
            <w:pPr>
              <w:rPr>
                <w:rFonts w:ascii="Calibri" w:hAnsi="Calibri" w:cs="Calibri"/>
                <w:color w:val="000000"/>
                <w:sz w:val="20"/>
                <w:szCs w:val="20"/>
              </w:rPr>
            </w:pPr>
            <w:r>
              <w:rPr>
                <w:rFonts w:ascii="Calibri" w:hAnsi="Calibri" w:cs="Calibri"/>
                <w:color w:val="000000"/>
                <w:sz w:val="20"/>
                <w:szCs w:val="20"/>
                <w:lang w:val="sr-Latn-BA"/>
              </w:rPr>
              <w:t xml:space="preserve">Obveznice PPMK-O-F </w:t>
            </w:r>
          </w:p>
        </w:tc>
        <w:tc>
          <w:tcPr>
            <w:tcW w:w="1128" w:type="dxa"/>
            <w:tcBorders>
              <w:top w:val="nil"/>
              <w:left w:val="nil"/>
              <w:bottom w:val="nil"/>
              <w:right w:val="nil"/>
            </w:tcBorders>
            <w:shd w:val="clear" w:color="000000" w:fill="FFFFFF"/>
            <w:vAlign w:val="center"/>
            <w:hideMark/>
          </w:tcPr>
          <w:p w:rsidR="00CE590E" w:rsidRDefault="002F747B">
            <w:pPr>
              <w:jc w:val="right"/>
              <w:rPr>
                <w:rFonts w:ascii="Calibri" w:hAnsi="Calibri" w:cs="Calibri"/>
                <w:color w:val="000000"/>
                <w:sz w:val="20"/>
                <w:szCs w:val="20"/>
              </w:rPr>
            </w:pPr>
            <w:r>
              <w:rPr>
                <w:rFonts w:ascii="Calibri" w:hAnsi="Calibri" w:cs="Calibri"/>
                <w:color w:val="000000"/>
                <w:sz w:val="20"/>
                <w:szCs w:val="20"/>
                <w:lang w:val="sr-Latn-BA"/>
              </w:rPr>
              <w:t>30.509</w:t>
            </w:r>
          </w:p>
        </w:tc>
        <w:tc>
          <w:tcPr>
            <w:tcW w:w="1046" w:type="dxa"/>
            <w:tcBorders>
              <w:top w:val="nil"/>
              <w:left w:val="nil"/>
              <w:bottom w:val="nil"/>
              <w:right w:val="nil"/>
            </w:tcBorders>
            <w:shd w:val="clear" w:color="000000" w:fill="FFFFFF"/>
            <w:noWrap/>
            <w:vAlign w:val="center"/>
            <w:hideMark/>
          </w:tcPr>
          <w:p w:rsidR="00CE590E" w:rsidRDefault="00CE590E">
            <w:pPr>
              <w:jc w:val="right"/>
              <w:rPr>
                <w:rFonts w:ascii="Calibri" w:hAnsi="Calibri" w:cs="Calibri"/>
                <w:color w:val="000000"/>
                <w:sz w:val="20"/>
                <w:szCs w:val="20"/>
              </w:rPr>
            </w:pPr>
            <w:r w:rsidRPr="008C2047">
              <w:rPr>
                <w:rFonts w:ascii="Calibri" w:hAnsi="Calibri" w:cs="Calibri"/>
                <w:color w:val="000000"/>
                <w:sz w:val="20"/>
                <w:szCs w:val="20"/>
                <w:lang w:val="sr-Latn-BA"/>
              </w:rPr>
              <w:t>3,33</w:t>
            </w:r>
            <w:r>
              <w:rPr>
                <w:rFonts w:ascii="Calibri" w:hAnsi="Calibri" w:cs="Calibri"/>
                <w:color w:val="000000"/>
                <w:sz w:val="20"/>
                <w:szCs w:val="20"/>
                <w:lang w:val="sr-Latn-BA"/>
              </w:rPr>
              <w:t>%</w:t>
            </w:r>
          </w:p>
        </w:tc>
        <w:tc>
          <w:tcPr>
            <w:tcW w:w="879" w:type="dxa"/>
            <w:tcBorders>
              <w:top w:val="nil"/>
              <w:left w:val="nil"/>
              <w:bottom w:val="nil"/>
              <w:right w:val="nil"/>
            </w:tcBorders>
            <w:shd w:val="clear" w:color="000000" w:fill="FFFFFF"/>
            <w:noWrap/>
            <w:vAlign w:val="center"/>
            <w:hideMark/>
          </w:tcPr>
          <w:p w:rsidR="00CE590E" w:rsidRDefault="002F747B">
            <w:pPr>
              <w:jc w:val="right"/>
              <w:rPr>
                <w:rFonts w:ascii="Calibri" w:hAnsi="Calibri" w:cs="Calibri"/>
                <w:color w:val="000000"/>
                <w:sz w:val="20"/>
                <w:szCs w:val="20"/>
              </w:rPr>
            </w:pPr>
            <w:r>
              <w:rPr>
                <w:rFonts w:ascii="Calibri" w:hAnsi="Calibri" w:cs="Calibri"/>
                <w:color w:val="000000"/>
                <w:sz w:val="20"/>
                <w:szCs w:val="20"/>
                <w:lang w:val="sr-Latn-BA"/>
              </w:rPr>
              <w:t>1,56</w:t>
            </w:r>
            <w:r w:rsidR="00CE590E">
              <w:rPr>
                <w:rFonts w:ascii="Calibri" w:hAnsi="Calibri" w:cs="Calibri"/>
                <w:color w:val="000000"/>
                <w:sz w:val="20"/>
                <w:szCs w:val="20"/>
                <w:lang w:val="sr-Latn-BA"/>
              </w:rPr>
              <w:t>%</w:t>
            </w:r>
          </w:p>
        </w:tc>
      </w:tr>
      <w:tr w:rsidR="00CE590E" w:rsidTr="00CE590E">
        <w:trPr>
          <w:trHeight w:val="300"/>
        </w:trPr>
        <w:tc>
          <w:tcPr>
            <w:tcW w:w="5649" w:type="dxa"/>
            <w:tcBorders>
              <w:top w:val="nil"/>
              <w:left w:val="nil"/>
              <w:bottom w:val="nil"/>
              <w:right w:val="nil"/>
            </w:tcBorders>
            <w:shd w:val="clear" w:color="000000" w:fill="FFFFFF"/>
            <w:noWrap/>
            <w:vAlign w:val="center"/>
            <w:hideMark/>
          </w:tcPr>
          <w:p w:rsidR="00CE590E" w:rsidRDefault="00CE590E">
            <w:pPr>
              <w:rPr>
                <w:rFonts w:ascii="Calibri" w:hAnsi="Calibri" w:cs="Calibri"/>
                <w:color w:val="000000"/>
                <w:sz w:val="20"/>
                <w:szCs w:val="20"/>
              </w:rPr>
            </w:pPr>
            <w:r>
              <w:rPr>
                <w:rFonts w:ascii="Calibri" w:hAnsi="Calibri" w:cs="Calibri"/>
                <w:color w:val="000000"/>
                <w:sz w:val="20"/>
                <w:szCs w:val="20"/>
                <w:lang w:val="sr-Latn-BA"/>
              </w:rPr>
              <w:lastRenderedPageBreak/>
              <w:t xml:space="preserve">Obveznice RSRS-O-M </w:t>
            </w:r>
          </w:p>
        </w:tc>
        <w:tc>
          <w:tcPr>
            <w:tcW w:w="1128" w:type="dxa"/>
            <w:tcBorders>
              <w:top w:val="nil"/>
              <w:left w:val="nil"/>
              <w:bottom w:val="nil"/>
              <w:right w:val="nil"/>
            </w:tcBorders>
            <w:shd w:val="clear" w:color="000000" w:fill="FFFFFF"/>
            <w:vAlign w:val="center"/>
            <w:hideMark/>
          </w:tcPr>
          <w:p w:rsidR="00CE590E" w:rsidRDefault="00CE590E" w:rsidP="002F747B">
            <w:pPr>
              <w:jc w:val="right"/>
              <w:rPr>
                <w:rFonts w:ascii="Calibri" w:hAnsi="Calibri" w:cs="Calibri"/>
                <w:color w:val="000000"/>
                <w:sz w:val="20"/>
                <w:szCs w:val="20"/>
              </w:rPr>
            </w:pPr>
            <w:r>
              <w:rPr>
                <w:rFonts w:ascii="Calibri" w:hAnsi="Calibri" w:cs="Calibri"/>
                <w:color w:val="000000"/>
                <w:sz w:val="20"/>
                <w:szCs w:val="20"/>
                <w:lang w:val="sr-Latn-BA"/>
              </w:rPr>
              <w:t>3</w:t>
            </w:r>
            <w:r w:rsidR="0066405C">
              <w:rPr>
                <w:rFonts w:ascii="Calibri" w:hAnsi="Calibri" w:cs="Calibri"/>
                <w:color w:val="000000"/>
                <w:sz w:val="20"/>
                <w:szCs w:val="20"/>
                <w:lang w:val="sr-Latn-BA"/>
              </w:rPr>
              <w:t>49.</w:t>
            </w:r>
            <w:r w:rsidR="002F747B">
              <w:rPr>
                <w:rFonts w:ascii="Calibri" w:hAnsi="Calibri" w:cs="Calibri"/>
                <w:color w:val="000000"/>
                <w:sz w:val="20"/>
                <w:szCs w:val="20"/>
                <w:lang w:val="sr-Latn-BA"/>
              </w:rPr>
              <w:t>368</w:t>
            </w:r>
          </w:p>
        </w:tc>
        <w:tc>
          <w:tcPr>
            <w:tcW w:w="1046" w:type="dxa"/>
            <w:tcBorders>
              <w:top w:val="nil"/>
              <w:left w:val="nil"/>
              <w:bottom w:val="nil"/>
              <w:right w:val="nil"/>
            </w:tcBorders>
            <w:shd w:val="clear" w:color="000000" w:fill="FFFFFF"/>
            <w:noWrap/>
            <w:vAlign w:val="center"/>
            <w:hideMark/>
          </w:tcPr>
          <w:p w:rsidR="00CE590E" w:rsidRDefault="0066405C">
            <w:pPr>
              <w:jc w:val="right"/>
              <w:rPr>
                <w:rFonts w:ascii="Calibri" w:hAnsi="Calibri" w:cs="Calibri"/>
                <w:color w:val="000000"/>
                <w:sz w:val="20"/>
                <w:szCs w:val="20"/>
              </w:rPr>
            </w:pPr>
            <w:r>
              <w:rPr>
                <w:rFonts w:ascii="Calibri" w:hAnsi="Calibri" w:cs="Calibri"/>
                <w:color w:val="000000"/>
                <w:sz w:val="20"/>
                <w:szCs w:val="20"/>
                <w:lang w:val="sr-Latn-BA"/>
              </w:rPr>
              <w:t>2,43</w:t>
            </w:r>
            <w:r w:rsidR="00CE590E">
              <w:rPr>
                <w:rFonts w:ascii="Calibri" w:hAnsi="Calibri" w:cs="Calibri"/>
                <w:color w:val="000000"/>
                <w:sz w:val="20"/>
                <w:szCs w:val="20"/>
                <w:lang w:val="sr-Latn-BA"/>
              </w:rPr>
              <w:t>%</w:t>
            </w:r>
          </w:p>
        </w:tc>
        <w:tc>
          <w:tcPr>
            <w:tcW w:w="879" w:type="dxa"/>
            <w:tcBorders>
              <w:top w:val="nil"/>
              <w:left w:val="nil"/>
              <w:bottom w:val="nil"/>
              <w:right w:val="nil"/>
            </w:tcBorders>
            <w:shd w:val="clear" w:color="000000" w:fill="FFFFFF"/>
            <w:noWrap/>
            <w:vAlign w:val="center"/>
            <w:hideMark/>
          </w:tcPr>
          <w:p w:rsidR="00CE590E" w:rsidRDefault="002F747B">
            <w:pPr>
              <w:jc w:val="right"/>
              <w:rPr>
                <w:rFonts w:ascii="Calibri" w:hAnsi="Calibri" w:cs="Calibri"/>
                <w:color w:val="000000"/>
                <w:sz w:val="20"/>
                <w:szCs w:val="20"/>
              </w:rPr>
            </w:pPr>
            <w:r>
              <w:rPr>
                <w:rFonts w:ascii="Calibri" w:hAnsi="Calibri" w:cs="Calibri"/>
                <w:color w:val="000000"/>
                <w:sz w:val="20"/>
                <w:szCs w:val="20"/>
                <w:lang w:val="sr-Latn-BA"/>
              </w:rPr>
              <w:t>17,90</w:t>
            </w:r>
            <w:r w:rsidR="00CE590E">
              <w:rPr>
                <w:rFonts w:ascii="Calibri" w:hAnsi="Calibri" w:cs="Calibri"/>
                <w:color w:val="000000"/>
                <w:sz w:val="20"/>
                <w:szCs w:val="20"/>
                <w:lang w:val="sr-Latn-BA"/>
              </w:rPr>
              <w:t>%</w:t>
            </w:r>
          </w:p>
        </w:tc>
      </w:tr>
      <w:tr w:rsidR="00CE590E" w:rsidTr="00CE590E">
        <w:trPr>
          <w:trHeight w:val="300"/>
        </w:trPr>
        <w:tc>
          <w:tcPr>
            <w:tcW w:w="5649" w:type="dxa"/>
            <w:tcBorders>
              <w:top w:val="nil"/>
              <w:left w:val="nil"/>
              <w:bottom w:val="nil"/>
              <w:right w:val="nil"/>
            </w:tcBorders>
            <w:shd w:val="clear" w:color="000000" w:fill="FFFFFF"/>
            <w:noWrap/>
            <w:vAlign w:val="center"/>
            <w:hideMark/>
          </w:tcPr>
          <w:p w:rsidR="00CE590E" w:rsidRDefault="00CE590E">
            <w:pPr>
              <w:rPr>
                <w:rFonts w:ascii="Calibri" w:hAnsi="Calibri" w:cs="Calibri"/>
                <w:b/>
                <w:bCs/>
                <w:color w:val="000000"/>
                <w:sz w:val="20"/>
                <w:szCs w:val="20"/>
              </w:rPr>
            </w:pPr>
          </w:p>
        </w:tc>
        <w:tc>
          <w:tcPr>
            <w:tcW w:w="1128" w:type="dxa"/>
            <w:vMerge w:val="restart"/>
            <w:tcBorders>
              <w:top w:val="nil"/>
              <w:left w:val="nil"/>
              <w:bottom w:val="double" w:sz="6" w:space="0" w:color="000000"/>
              <w:right w:val="nil"/>
            </w:tcBorders>
            <w:shd w:val="clear" w:color="000000" w:fill="FFFFFF"/>
            <w:noWrap/>
            <w:vAlign w:val="center"/>
            <w:hideMark/>
          </w:tcPr>
          <w:p w:rsidR="00CE590E" w:rsidRDefault="002F747B">
            <w:pPr>
              <w:jc w:val="right"/>
              <w:rPr>
                <w:rFonts w:ascii="Calibri" w:hAnsi="Calibri" w:cs="Calibri"/>
                <w:color w:val="000000"/>
                <w:sz w:val="20"/>
                <w:szCs w:val="20"/>
              </w:rPr>
            </w:pPr>
            <w:r>
              <w:rPr>
                <w:rFonts w:ascii="Calibri" w:hAnsi="Calibri" w:cs="Calibri"/>
                <w:color w:val="000000"/>
                <w:sz w:val="20"/>
                <w:szCs w:val="20"/>
                <w:lang w:val="sr-Latn-BA"/>
              </w:rPr>
              <w:t>731.118</w:t>
            </w:r>
          </w:p>
        </w:tc>
        <w:tc>
          <w:tcPr>
            <w:tcW w:w="1046" w:type="dxa"/>
            <w:vMerge w:val="restart"/>
            <w:tcBorders>
              <w:top w:val="nil"/>
              <w:left w:val="nil"/>
              <w:bottom w:val="double" w:sz="6" w:space="0" w:color="000000"/>
              <w:right w:val="nil"/>
            </w:tcBorders>
            <w:shd w:val="clear" w:color="000000" w:fill="FFFFFF"/>
            <w:noWrap/>
            <w:vAlign w:val="center"/>
            <w:hideMark/>
          </w:tcPr>
          <w:p w:rsidR="00CE590E" w:rsidRDefault="00CE590E">
            <w:pPr>
              <w:rPr>
                <w:rFonts w:ascii="Calibri" w:hAnsi="Calibri" w:cs="Calibri"/>
                <w:color w:val="000000"/>
                <w:sz w:val="20"/>
                <w:szCs w:val="20"/>
              </w:rPr>
            </w:pPr>
            <w:r>
              <w:rPr>
                <w:rFonts w:ascii="Calibri" w:hAnsi="Calibri" w:cs="Calibri"/>
                <w:color w:val="000000"/>
                <w:sz w:val="20"/>
                <w:szCs w:val="20"/>
                <w:lang w:val="sr-Latn-BA"/>
              </w:rPr>
              <w:t> </w:t>
            </w:r>
          </w:p>
        </w:tc>
        <w:tc>
          <w:tcPr>
            <w:tcW w:w="879" w:type="dxa"/>
            <w:vMerge w:val="restart"/>
            <w:tcBorders>
              <w:top w:val="nil"/>
              <w:left w:val="nil"/>
              <w:bottom w:val="double" w:sz="6" w:space="0" w:color="000000"/>
              <w:right w:val="nil"/>
            </w:tcBorders>
            <w:shd w:val="clear" w:color="000000" w:fill="FFFFFF"/>
            <w:noWrap/>
            <w:vAlign w:val="center"/>
            <w:hideMark/>
          </w:tcPr>
          <w:p w:rsidR="00CE590E" w:rsidRDefault="00CE590E">
            <w:pPr>
              <w:rPr>
                <w:rFonts w:ascii="Calibri" w:hAnsi="Calibri" w:cs="Calibri"/>
                <w:color w:val="000000"/>
                <w:sz w:val="20"/>
                <w:szCs w:val="20"/>
              </w:rPr>
            </w:pPr>
            <w:r>
              <w:rPr>
                <w:rFonts w:ascii="Calibri" w:hAnsi="Calibri" w:cs="Calibri"/>
                <w:color w:val="000000"/>
                <w:sz w:val="20"/>
                <w:szCs w:val="20"/>
                <w:lang w:val="sr-Latn-BA"/>
              </w:rPr>
              <w:t> </w:t>
            </w:r>
          </w:p>
        </w:tc>
      </w:tr>
      <w:tr w:rsidR="00CE590E" w:rsidTr="00CE590E">
        <w:trPr>
          <w:trHeight w:val="300"/>
        </w:trPr>
        <w:tc>
          <w:tcPr>
            <w:tcW w:w="5649" w:type="dxa"/>
            <w:tcBorders>
              <w:top w:val="nil"/>
              <w:left w:val="nil"/>
              <w:bottom w:val="nil"/>
              <w:right w:val="nil"/>
            </w:tcBorders>
            <w:shd w:val="clear" w:color="000000" w:fill="FFFFFF"/>
            <w:noWrap/>
            <w:vAlign w:val="center"/>
            <w:hideMark/>
          </w:tcPr>
          <w:p w:rsidR="00CE590E" w:rsidRDefault="007C402E">
            <w:pPr>
              <w:rPr>
                <w:rFonts w:ascii="Calibri" w:hAnsi="Calibri" w:cs="Calibri"/>
                <w:b/>
                <w:bCs/>
                <w:color w:val="000000"/>
                <w:sz w:val="20"/>
                <w:szCs w:val="20"/>
              </w:rPr>
            </w:pPr>
            <w:r>
              <w:rPr>
                <w:rFonts w:ascii="Calibri" w:hAnsi="Calibri" w:cs="Calibri"/>
                <w:b/>
                <w:bCs/>
                <w:color w:val="000000"/>
                <w:sz w:val="20"/>
                <w:szCs w:val="20"/>
                <w:lang w:val="sr-Latn-BA"/>
              </w:rPr>
              <w:t> Stanje na dan  31.03.2021</w:t>
            </w:r>
            <w:r w:rsidR="00CE590E">
              <w:rPr>
                <w:rFonts w:ascii="Calibri" w:hAnsi="Calibri" w:cs="Calibri"/>
                <w:b/>
                <w:bCs/>
                <w:color w:val="000000"/>
                <w:sz w:val="20"/>
                <w:szCs w:val="20"/>
                <w:lang w:val="sr-Latn-BA"/>
              </w:rPr>
              <w:t>.god.</w:t>
            </w:r>
          </w:p>
        </w:tc>
        <w:tc>
          <w:tcPr>
            <w:tcW w:w="1128" w:type="dxa"/>
            <w:vMerge/>
            <w:tcBorders>
              <w:top w:val="nil"/>
              <w:left w:val="nil"/>
              <w:bottom w:val="double" w:sz="6" w:space="0" w:color="000000"/>
              <w:right w:val="nil"/>
            </w:tcBorders>
            <w:vAlign w:val="center"/>
            <w:hideMark/>
          </w:tcPr>
          <w:p w:rsidR="00CE590E" w:rsidRDefault="00CE590E">
            <w:pPr>
              <w:rPr>
                <w:rFonts w:ascii="Calibri" w:hAnsi="Calibri" w:cs="Calibri"/>
                <w:color w:val="000000"/>
                <w:sz w:val="20"/>
                <w:szCs w:val="20"/>
              </w:rPr>
            </w:pPr>
          </w:p>
        </w:tc>
        <w:tc>
          <w:tcPr>
            <w:tcW w:w="1046" w:type="dxa"/>
            <w:vMerge/>
            <w:tcBorders>
              <w:top w:val="nil"/>
              <w:left w:val="nil"/>
              <w:bottom w:val="double" w:sz="6" w:space="0" w:color="000000"/>
              <w:right w:val="nil"/>
            </w:tcBorders>
            <w:vAlign w:val="center"/>
            <w:hideMark/>
          </w:tcPr>
          <w:p w:rsidR="00CE590E" w:rsidRDefault="00CE590E">
            <w:pPr>
              <w:rPr>
                <w:rFonts w:ascii="Calibri" w:hAnsi="Calibri" w:cs="Calibri"/>
                <w:color w:val="000000"/>
                <w:sz w:val="20"/>
                <w:szCs w:val="20"/>
              </w:rPr>
            </w:pPr>
          </w:p>
        </w:tc>
        <w:tc>
          <w:tcPr>
            <w:tcW w:w="879" w:type="dxa"/>
            <w:vMerge/>
            <w:tcBorders>
              <w:top w:val="nil"/>
              <w:left w:val="nil"/>
              <w:bottom w:val="double" w:sz="6" w:space="0" w:color="000000"/>
              <w:right w:val="nil"/>
            </w:tcBorders>
            <w:vAlign w:val="center"/>
            <w:hideMark/>
          </w:tcPr>
          <w:p w:rsidR="00CE590E" w:rsidRDefault="00CE590E">
            <w:pPr>
              <w:rPr>
                <w:rFonts w:ascii="Calibri" w:hAnsi="Calibri" w:cs="Calibri"/>
                <w:color w:val="000000"/>
                <w:sz w:val="20"/>
                <w:szCs w:val="20"/>
              </w:rPr>
            </w:pPr>
          </w:p>
        </w:tc>
      </w:tr>
      <w:tr w:rsidR="00CE590E" w:rsidTr="00CE590E">
        <w:trPr>
          <w:trHeight w:val="300"/>
        </w:trPr>
        <w:tc>
          <w:tcPr>
            <w:tcW w:w="5649" w:type="dxa"/>
            <w:tcBorders>
              <w:top w:val="nil"/>
              <w:left w:val="nil"/>
              <w:bottom w:val="nil"/>
              <w:right w:val="nil"/>
            </w:tcBorders>
            <w:shd w:val="clear" w:color="000000" w:fill="FFFFFF"/>
            <w:noWrap/>
            <w:vAlign w:val="center"/>
            <w:hideMark/>
          </w:tcPr>
          <w:p w:rsidR="00CE590E" w:rsidRDefault="00CE590E">
            <w:pPr>
              <w:rPr>
                <w:rFonts w:ascii="Calibri" w:hAnsi="Calibri" w:cs="Calibri"/>
                <w:b/>
                <w:bCs/>
                <w:color w:val="000000"/>
                <w:sz w:val="20"/>
                <w:szCs w:val="20"/>
              </w:rPr>
            </w:pPr>
          </w:p>
        </w:tc>
        <w:tc>
          <w:tcPr>
            <w:tcW w:w="1128" w:type="dxa"/>
            <w:vMerge/>
            <w:tcBorders>
              <w:top w:val="nil"/>
              <w:left w:val="nil"/>
              <w:bottom w:val="double" w:sz="6" w:space="0" w:color="000000"/>
              <w:right w:val="nil"/>
            </w:tcBorders>
            <w:vAlign w:val="center"/>
            <w:hideMark/>
          </w:tcPr>
          <w:p w:rsidR="00CE590E" w:rsidRDefault="00CE590E">
            <w:pPr>
              <w:rPr>
                <w:rFonts w:ascii="Calibri" w:hAnsi="Calibri" w:cs="Calibri"/>
                <w:color w:val="000000"/>
                <w:sz w:val="20"/>
                <w:szCs w:val="20"/>
              </w:rPr>
            </w:pPr>
          </w:p>
        </w:tc>
        <w:tc>
          <w:tcPr>
            <w:tcW w:w="1046" w:type="dxa"/>
            <w:vMerge/>
            <w:tcBorders>
              <w:top w:val="nil"/>
              <w:left w:val="nil"/>
              <w:bottom w:val="double" w:sz="6" w:space="0" w:color="000000"/>
              <w:right w:val="nil"/>
            </w:tcBorders>
            <w:vAlign w:val="center"/>
            <w:hideMark/>
          </w:tcPr>
          <w:p w:rsidR="00CE590E" w:rsidRDefault="00CE590E">
            <w:pPr>
              <w:rPr>
                <w:rFonts w:ascii="Calibri" w:hAnsi="Calibri" w:cs="Calibri"/>
                <w:color w:val="000000"/>
                <w:sz w:val="20"/>
                <w:szCs w:val="20"/>
              </w:rPr>
            </w:pPr>
          </w:p>
        </w:tc>
        <w:tc>
          <w:tcPr>
            <w:tcW w:w="879" w:type="dxa"/>
            <w:vMerge/>
            <w:tcBorders>
              <w:top w:val="nil"/>
              <w:left w:val="nil"/>
              <w:bottom w:val="double" w:sz="6" w:space="0" w:color="000000"/>
              <w:right w:val="nil"/>
            </w:tcBorders>
            <w:vAlign w:val="center"/>
            <w:hideMark/>
          </w:tcPr>
          <w:p w:rsidR="00CE590E" w:rsidRDefault="00CE590E">
            <w:pPr>
              <w:rPr>
                <w:rFonts w:ascii="Calibri" w:hAnsi="Calibri" w:cs="Calibri"/>
                <w:color w:val="000000"/>
                <w:sz w:val="20"/>
                <w:szCs w:val="20"/>
              </w:rPr>
            </w:pPr>
          </w:p>
        </w:tc>
      </w:tr>
    </w:tbl>
    <w:p w:rsidR="00460B8C" w:rsidRDefault="00460B8C" w:rsidP="002A3CF5">
      <w:pPr>
        <w:tabs>
          <w:tab w:val="left" w:pos="-1440"/>
          <w:tab w:val="left" w:pos="-720"/>
          <w:tab w:val="left" w:pos="0"/>
          <w:tab w:val="left" w:pos="709"/>
          <w:tab w:val="left" w:pos="889"/>
          <w:tab w:val="left" w:pos="1094"/>
          <w:tab w:val="left" w:pos="4514"/>
          <w:tab w:val="right" w:pos="5472"/>
          <w:tab w:val="left" w:pos="5677"/>
          <w:tab w:val="right" w:pos="6635"/>
          <w:tab w:val="left" w:pos="6840"/>
          <w:tab w:val="right" w:pos="7729"/>
          <w:tab w:val="left" w:pos="7934"/>
          <w:tab w:val="right" w:pos="8960"/>
        </w:tabs>
        <w:suppressAutoHyphens/>
        <w:jc w:val="both"/>
        <w:rPr>
          <w:rFonts w:ascii="Calibri" w:hAnsi="Calibri" w:cs="Calibri"/>
          <w:noProof/>
          <w:lang w:val="sr-Latn-CS"/>
        </w:rPr>
      </w:pPr>
    </w:p>
    <w:p w:rsidR="00AC7A67" w:rsidRDefault="00AC7A67" w:rsidP="00AC7A67">
      <w:pPr>
        <w:tabs>
          <w:tab w:val="left" w:pos="-1440"/>
          <w:tab w:val="left" w:pos="-720"/>
          <w:tab w:val="left" w:pos="0"/>
          <w:tab w:val="left" w:pos="709"/>
          <w:tab w:val="left" w:pos="889"/>
          <w:tab w:val="left" w:pos="1094"/>
          <w:tab w:val="left" w:pos="4514"/>
          <w:tab w:val="right" w:pos="5472"/>
          <w:tab w:val="left" w:pos="5677"/>
          <w:tab w:val="right" w:pos="6635"/>
          <w:tab w:val="left" w:pos="6840"/>
          <w:tab w:val="right" w:pos="7729"/>
          <w:tab w:val="left" w:pos="7934"/>
          <w:tab w:val="right" w:pos="8960"/>
        </w:tabs>
        <w:suppressAutoHyphens/>
        <w:jc w:val="both"/>
        <w:rPr>
          <w:rFonts w:ascii="Calibri" w:hAnsi="Calibri" w:cs="Calibri"/>
          <w:noProof/>
          <w:lang w:val="sr-Latn-CS"/>
        </w:rPr>
      </w:pPr>
    </w:p>
    <w:p w:rsidR="00AC7A67" w:rsidRDefault="00AC7A67" w:rsidP="00AC7A67">
      <w:pPr>
        <w:tabs>
          <w:tab w:val="left" w:pos="-1440"/>
          <w:tab w:val="left" w:pos="-720"/>
          <w:tab w:val="left" w:pos="0"/>
          <w:tab w:val="left" w:pos="709"/>
          <w:tab w:val="left" w:pos="889"/>
          <w:tab w:val="left" w:pos="1094"/>
          <w:tab w:val="left" w:pos="4514"/>
          <w:tab w:val="right" w:pos="5472"/>
          <w:tab w:val="left" w:pos="5677"/>
          <w:tab w:val="right" w:pos="6635"/>
          <w:tab w:val="left" w:pos="6840"/>
          <w:tab w:val="right" w:pos="7729"/>
          <w:tab w:val="left" w:pos="7934"/>
          <w:tab w:val="right" w:pos="8960"/>
        </w:tabs>
        <w:suppressAutoHyphens/>
        <w:jc w:val="both"/>
        <w:rPr>
          <w:rFonts w:ascii="Calibri" w:hAnsi="Calibri" w:cs="Calibri"/>
          <w:noProof/>
          <w:lang w:val="sr-Latn-CS"/>
        </w:rPr>
      </w:pPr>
      <w:r w:rsidRPr="00A47E7E">
        <w:rPr>
          <w:rFonts w:ascii="Calibri" w:hAnsi="Calibri" w:cs="Calibri"/>
          <w:noProof/>
          <w:lang w:val="sr-Latn-CS"/>
        </w:rPr>
        <w:t>Najznačajnija ulaganja u HOV koje su raspoložive za prodaju na dan 31. d</w:t>
      </w:r>
      <w:r w:rsidR="002F747B">
        <w:rPr>
          <w:rFonts w:ascii="Calibri" w:hAnsi="Calibri" w:cs="Calibri"/>
          <w:noProof/>
          <w:lang w:val="sr-Latn-CS"/>
        </w:rPr>
        <w:t>ecembra 2020</w:t>
      </w:r>
      <w:r w:rsidRPr="00A47E7E">
        <w:rPr>
          <w:rFonts w:ascii="Calibri" w:hAnsi="Calibri" w:cs="Calibri"/>
          <w:noProof/>
          <w:lang w:val="sr-Latn-CS"/>
        </w:rPr>
        <w:t>. godine su:</w:t>
      </w:r>
    </w:p>
    <w:p w:rsidR="00AC7A67" w:rsidRDefault="00AC7A67" w:rsidP="00AC7A67">
      <w:pPr>
        <w:tabs>
          <w:tab w:val="left" w:pos="-1440"/>
          <w:tab w:val="left" w:pos="-720"/>
          <w:tab w:val="left" w:pos="0"/>
          <w:tab w:val="left" w:pos="709"/>
          <w:tab w:val="left" w:pos="889"/>
          <w:tab w:val="left" w:pos="1094"/>
          <w:tab w:val="left" w:pos="4514"/>
          <w:tab w:val="right" w:pos="5472"/>
          <w:tab w:val="left" w:pos="5677"/>
          <w:tab w:val="right" w:pos="6635"/>
          <w:tab w:val="left" w:pos="6840"/>
          <w:tab w:val="right" w:pos="7729"/>
          <w:tab w:val="left" w:pos="7934"/>
          <w:tab w:val="right" w:pos="8960"/>
        </w:tabs>
        <w:suppressAutoHyphens/>
        <w:jc w:val="both"/>
        <w:rPr>
          <w:rFonts w:ascii="Calibri" w:hAnsi="Calibri" w:cs="Calibri"/>
          <w:noProof/>
          <w:lang w:val="sr-Latn-CS"/>
        </w:rPr>
      </w:pPr>
    </w:p>
    <w:tbl>
      <w:tblPr>
        <w:tblW w:w="9220" w:type="dxa"/>
        <w:tblInd w:w="100" w:type="dxa"/>
        <w:tblLook w:val="04A0" w:firstRow="1" w:lastRow="0" w:firstColumn="1" w:lastColumn="0" w:noHBand="0" w:noVBand="1"/>
      </w:tblPr>
      <w:tblGrid>
        <w:gridCol w:w="3640"/>
        <w:gridCol w:w="2180"/>
        <w:gridCol w:w="1400"/>
        <w:gridCol w:w="2000"/>
      </w:tblGrid>
      <w:tr w:rsidR="00AC7A67" w:rsidRPr="00AC7A67" w:rsidTr="009D6E96">
        <w:trPr>
          <w:trHeight w:val="772"/>
        </w:trPr>
        <w:tc>
          <w:tcPr>
            <w:tcW w:w="3640" w:type="dxa"/>
            <w:tcBorders>
              <w:top w:val="nil"/>
              <w:left w:val="nil"/>
              <w:bottom w:val="nil"/>
              <w:right w:val="nil"/>
            </w:tcBorders>
            <w:shd w:val="clear" w:color="000000" w:fill="FFFFFF"/>
            <w:noWrap/>
            <w:vAlign w:val="bottom"/>
            <w:hideMark/>
          </w:tcPr>
          <w:p w:rsidR="00AC7A67" w:rsidRPr="00AC7A67" w:rsidRDefault="00AC7A67" w:rsidP="009D6E96">
            <w:pPr>
              <w:rPr>
                <w:rFonts w:ascii="Calibri" w:hAnsi="Calibri"/>
                <w:i/>
                <w:color w:val="000000"/>
                <w:sz w:val="20"/>
                <w:szCs w:val="20"/>
                <w:lang w:val="sr-Latn-BA" w:eastAsia="sr-Latn-BA"/>
              </w:rPr>
            </w:pPr>
            <w:r w:rsidRPr="00AC7A67">
              <w:rPr>
                <w:rFonts w:ascii="Calibri" w:hAnsi="Calibri"/>
                <w:i/>
                <w:color w:val="000000"/>
                <w:sz w:val="20"/>
                <w:szCs w:val="20"/>
                <w:lang w:val="sr-Latn-BA" w:eastAsia="sr-Latn-BA"/>
              </w:rPr>
              <w:t> </w:t>
            </w:r>
          </w:p>
        </w:tc>
        <w:tc>
          <w:tcPr>
            <w:tcW w:w="2180" w:type="dxa"/>
            <w:tcBorders>
              <w:top w:val="single" w:sz="4" w:space="0" w:color="auto"/>
              <w:left w:val="nil"/>
              <w:bottom w:val="nil"/>
              <w:right w:val="nil"/>
            </w:tcBorders>
            <w:shd w:val="clear" w:color="000000" w:fill="FFFFFF"/>
            <w:vAlign w:val="center"/>
            <w:hideMark/>
          </w:tcPr>
          <w:p w:rsidR="00AC7A67" w:rsidRPr="00AC7A67" w:rsidRDefault="00AC7A67" w:rsidP="009D6E96">
            <w:pPr>
              <w:jc w:val="center"/>
              <w:rPr>
                <w:rFonts w:ascii="Calibri" w:hAnsi="Calibri"/>
                <w:b/>
                <w:bCs/>
                <w:i/>
                <w:color w:val="000000"/>
                <w:sz w:val="20"/>
                <w:szCs w:val="20"/>
                <w:lang w:val="sr-Latn-BA" w:eastAsia="sr-Latn-BA"/>
              </w:rPr>
            </w:pPr>
            <w:r w:rsidRPr="00AC7A67">
              <w:rPr>
                <w:rFonts w:ascii="Calibri" w:hAnsi="Calibri"/>
                <w:b/>
                <w:bCs/>
                <w:i/>
                <w:color w:val="000000"/>
                <w:sz w:val="20"/>
                <w:szCs w:val="20"/>
                <w:lang w:val="sr-Latn-BA" w:eastAsia="sr-Latn-BA"/>
              </w:rPr>
              <w:t>Fer vrijednost</w:t>
            </w:r>
          </w:p>
        </w:tc>
        <w:tc>
          <w:tcPr>
            <w:tcW w:w="1400" w:type="dxa"/>
            <w:tcBorders>
              <w:top w:val="single" w:sz="4" w:space="0" w:color="auto"/>
              <w:left w:val="nil"/>
              <w:bottom w:val="nil"/>
              <w:right w:val="nil"/>
            </w:tcBorders>
            <w:shd w:val="clear" w:color="000000" w:fill="FFFFFF"/>
            <w:vAlign w:val="center"/>
            <w:hideMark/>
          </w:tcPr>
          <w:p w:rsidR="00AC7A67" w:rsidRPr="00AC7A67" w:rsidRDefault="00AC7A67" w:rsidP="009D6E96">
            <w:pPr>
              <w:jc w:val="center"/>
              <w:rPr>
                <w:rFonts w:ascii="Calibri" w:hAnsi="Calibri"/>
                <w:b/>
                <w:bCs/>
                <w:i/>
                <w:color w:val="000000"/>
                <w:sz w:val="20"/>
                <w:szCs w:val="20"/>
                <w:lang w:val="sr-Latn-BA" w:eastAsia="sr-Latn-BA"/>
              </w:rPr>
            </w:pPr>
            <w:r w:rsidRPr="00AC7A67">
              <w:rPr>
                <w:rFonts w:ascii="Calibri" w:hAnsi="Calibri"/>
                <w:b/>
                <w:bCs/>
                <w:i/>
                <w:color w:val="000000"/>
                <w:sz w:val="20"/>
                <w:szCs w:val="20"/>
                <w:lang w:val="sr-Latn-BA" w:eastAsia="sr-Latn-BA"/>
              </w:rPr>
              <w:t xml:space="preserve">% vlasništva u kapitalu emitenta </w:t>
            </w:r>
          </w:p>
        </w:tc>
        <w:tc>
          <w:tcPr>
            <w:tcW w:w="2000" w:type="dxa"/>
            <w:tcBorders>
              <w:top w:val="single" w:sz="4" w:space="0" w:color="auto"/>
              <w:left w:val="nil"/>
              <w:bottom w:val="nil"/>
              <w:right w:val="nil"/>
            </w:tcBorders>
            <w:shd w:val="clear" w:color="000000" w:fill="FFFFFF"/>
            <w:vAlign w:val="center"/>
            <w:hideMark/>
          </w:tcPr>
          <w:p w:rsidR="00AC7A67" w:rsidRPr="00AC7A67" w:rsidRDefault="00AC7A67" w:rsidP="009D6E96">
            <w:pPr>
              <w:jc w:val="center"/>
              <w:rPr>
                <w:rFonts w:ascii="Calibri" w:hAnsi="Calibri"/>
                <w:b/>
                <w:bCs/>
                <w:i/>
                <w:color w:val="000000"/>
                <w:sz w:val="20"/>
                <w:szCs w:val="20"/>
                <w:lang w:val="sr-Latn-BA" w:eastAsia="sr-Latn-BA"/>
              </w:rPr>
            </w:pPr>
            <w:r w:rsidRPr="00AC7A67">
              <w:rPr>
                <w:rFonts w:ascii="Calibri" w:hAnsi="Calibri"/>
                <w:b/>
                <w:bCs/>
                <w:i/>
                <w:color w:val="000000"/>
                <w:sz w:val="20"/>
                <w:szCs w:val="20"/>
                <w:lang w:val="sr-Latn-BA" w:eastAsia="sr-Latn-BA"/>
              </w:rPr>
              <w:t>% ukupne imovine Fonda</w:t>
            </w:r>
          </w:p>
        </w:tc>
      </w:tr>
      <w:tr w:rsidR="00AC7A67" w:rsidRPr="00707478" w:rsidTr="009D6E96">
        <w:trPr>
          <w:trHeight w:val="405"/>
        </w:trPr>
        <w:tc>
          <w:tcPr>
            <w:tcW w:w="3640" w:type="dxa"/>
            <w:tcBorders>
              <w:top w:val="nil"/>
              <w:left w:val="nil"/>
              <w:bottom w:val="nil"/>
              <w:right w:val="nil"/>
            </w:tcBorders>
            <w:shd w:val="clear" w:color="000000" w:fill="FFFFFF"/>
            <w:noWrap/>
            <w:vAlign w:val="bottom"/>
            <w:hideMark/>
          </w:tcPr>
          <w:p w:rsidR="00AC7A67" w:rsidRPr="00707478" w:rsidRDefault="00AC7A67" w:rsidP="009D6E96">
            <w:pPr>
              <w:rPr>
                <w:rFonts w:ascii="Calibri" w:hAnsi="Calibri"/>
                <w:sz w:val="20"/>
                <w:szCs w:val="20"/>
                <w:lang w:val="sr-Latn-BA" w:eastAsia="sr-Latn-BA"/>
              </w:rPr>
            </w:pPr>
            <w:r>
              <w:rPr>
                <w:rFonts w:ascii="Calibri" w:hAnsi="Calibri"/>
                <w:sz w:val="20"/>
                <w:szCs w:val="20"/>
                <w:lang w:val="sr-Latn-BA" w:eastAsia="sr-Latn-BA"/>
              </w:rPr>
              <w:t xml:space="preserve">Sarajevo-gas ad, Sarajevo </w:t>
            </w:r>
            <w:r w:rsidRPr="00707478">
              <w:rPr>
                <w:rFonts w:ascii="Calibri" w:hAnsi="Calibri"/>
                <w:sz w:val="20"/>
                <w:szCs w:val="20"/>
                <w:lang w:val="sr-Latn-BA" w:eastAsia="sr-Latn-BA"/>
              </w:rPr>
              <w:t xml:space="preserve"> </w:t>
            </w:r>
          </w:p>
        </w:tc>
        <w:tc>
          <w:tcPr>
            <w:tcW w:w="2180" w:type="dxa"/>
            <w:tcBorders>
              <w:top w:val="nil"/>
              <w:left w:val="nil"/>
              <w:bottom w:val="nil"/>
              <w:right w:val="nil"/>
            </w:tcBorders>
            <w:shd w:val="clear" w:color="000000" w:fill="FFFFFF"/>
            <w:vAlign w:val="bottom"/>
            <w:hideMark/>
          </w:tcPr>
          <w:p w:rsidR="00AC7A67" w:rsidRPr="002F747B" w:rsidRDefault="002F747B" w:rsidP="009D6E96">
            <w:pPr>
              <w:jc w:val="right"/>
              <w:rPr>
                <w:rFonts w:ascii="Calibri" w:hAnsi="Calibri"/>
                <w:sz w:val="20"/>
                <w:szCs w:val="20"/>
                <w:lang w:val="sr-Latn-BA" w:eastAsia="sr-Latn-BA"/>
              </w:rPr>
            </w:pPr>
            <w:r w:rsidRPr="002F747B">
              <w:rPr>
                <w:rFonts w:ascii="Calibri" w:hAnsi="Calibri"/>
                <w:sz w:val="20"/>
                <w:szCs w:val="20"/>
                <w:lang w:val="sr-Latn-BA" w:eastAsia="sr-Latn-BA"/>
              </w:rPr>
              <w:t>199.576</w:t>
            </w:r>
          </w:p>
        </w:tc>
        <w:tc>
          <w:tcPr>
            <w:tcW w:w="1400" w:type="dxa"/>
            <w:tcBorders>
              <w:top w:val="nil"/>
              <w:left w:val="nil"/>
              <w:bottom w:val="nil"/>
              <w:right w:val="nil"/>
            </w:tcBorders>
            <w:shd w:val="clear" w:color="000000" w:fill="FFFFFF"/>
            <w:noWrap/>
            <w:vAlign w:val="bottom"/>
            <w:hideMark/>
          </w:tcPr>
          <w:p w:rsidR="00AC7A67" w:rsidRPr="002F747B" w:rsidRDefault="00AC7A67" w:rsidP="009D6E96">
            <w:pPr>
              <w:jc w:val="right"/>
              <w:rPr>
                <w:rFonts w:ascii="Calibri" w:hAnsi="Calibri"/>
                <w:sz w:val="20"/>
                <w:szCs w:val="20"/>
                <w:lang w:val="sr-Latn-BA" w:eastAsia="sr-Latn-BA"/>
              </w:rPr>
            </w:pPr>
            <w:r w:rsidRPr="002F747B">
              <w:rPr>
                <w:rFonts w:ascii="Calibri" w:hAnsi="Calibri"/>
                <w:sz w:val="20"/>
                <w:szCs w:val="20"/>
                <w:lang w:val="sr-Latn-BA" w:eastAsia="sr-Latn-BA"/>
              </w:rPr>
              <w:t>9,99%</w:t>
            </w:r>
          </w:p>
        </w:tc>
        <w:tc>
          <w:tcPr>
            <w:tcW w:w="2000" w:type="dxa"/>
            <w:tcBorders>
              <w:top w:val="nil"/>
              <w:left w:val="nil"/>
              <w:bottom w:val="nil"/>
              <w:right w:val="nil"/>
            </w:tcBorders>
            <w:shd w:val="clear" w:color="000000" w:fill="FFFFFF"/>
            <w:noWrap/>
            <w:vAlign w:val="bottom"/>
            <w:hideMark/>
          </w:tcPr>
          <w:p w:rsidR="00AC7A67" w:rsidRPr="00C442E1" w:rsidRDefault="002F747B" w:rsidP="009D6E96">
            <w:pPr>
              <w:jc w:val="right"/>
              <w:rPr>
                <w:rFonts w:ascii="Calibri" w:hAnsi="Calibri"/>
                <w:sz w:val="20"/>
                <w:szCs w:val="20"/>
                <w:lang w:val="sr-Latn-BA" w:eastAsia="sr-Latn-BA"/>
              </w:rPr>
            </w:pPr>
            <w:r w:rsidRPr="00C442E1">
              <w:rPr>
                <w:rFonts w:ascii="Calibri" w:hAnsi="Calibri"/>
                <w:sz w:val="20"/>
                <w:szCs w:val="20"/>
                <w:lang w:val="sr-Latn-BA" w:eastAsia="sr-Latn-BA"/>
              </w:rPr>
              <w:t>6,93</w:t>
            </w:r>
            <w:r w:rsidR="00AC7A67" w:rsidRPr="00C442E1">
              <w:rPr>
                <w:rFonts w:ascii="Calibri" w:hAnsi="Calibri"/>
                <w:sz w:val="20"/>
                <w:szCs w:val="20"/>
                <w:lang w:val="sr-Latn-BA" w:eastAsia="sr-Latn-BA"/>
              </w:rPr>
              <w:t>%</w:t>
            </w:r>
          </w:p>
        </w:tc>
      </w:tr>
      <w:tr w:rsidR="00AC7A67" w:rsidRPr="00707478" w:rsidTr="009D6E96">
        <w:trPr>
          <w:trHeight w:val="345"/>
        </w:trPr>
        <w:tc>
          <w:tcPr>
            <w:tcW w:w="3640" w:type="dxa"/>
            <w:tcBorders>
              <w:top w:val="nil"/>
              <w:left w:val="nil"/>
              <w:bottom w:val="nil"/>
              <w:right w:val="nil"/>
            </w:tcBorders>
            <w:shd w:val="clear" w:color="000000" w:fill="FFFFFF"/>
            <w:noWrap/>
            <w:vAlign w:val="bottom"/>
            <w:hideMark/>
          </w:tcPr>
          <w:p w:rsidR="00AC7A67" w:rsidRPr="00707478" w:rsidRDefault="00AC7A67" w:rsidP="009D6E96">
            <w:pPr>
              <w:rPr>
                <w:rFonts w:ascii="Calibri" w:hAnsi="Calibri"/>
                <w:sz w:val="20"/>
                <w:szCs w:val="20"/>
                <w:lang w:val="sr-Latn-BA" w:eastAsia="sr-Latn-BA"/>
              </w:rPr>
            </w:pPr>
            <w:r>
              <w:rPr>
                <w:rFonts w:ascii="Calibri" w:hAnsi="Calibri"/>
                <w:sz w:val="20"/>
                <w:szCs w:val="20"/>
                <w:lang w:val="sr-Latn-BA" w:eastAsia="sr-Latn-BA"/>
              </w:rPr>
              <w:t xml:space="preserve">Dobojinvest ad, Doboj </w:t>
            </w:r>
          </w:p>
        </w:tc>
        <w:tc>
          <w:tcPr>
            <w:tcW w:w="2180" w:type="dxa"/>
            <w:tcBorders>
              <w:top w:val="nil"/>
              <w:left w:val="nil"/>
              <w:bottom w:val="nil"/>
              <w:right w:val="nil"/>
            </w:tcBorders>
            <w:shd w:val="clear" w:color="000000" w:fill="FFFFFF"/>
            <w:vAlign w:val="bottom"/>
            <w:hideMark/>
          </w:tcPr>
          <w:p w:rsidR="00AC7A67" w:rsidRPr="002F747B" w:rsidRDefault="002F747B" w:rsidP="009D6E96">
            <w:pPr>
              <w:jc w:val="right"/>
              <w:rPr>
                <w:rFonts w:ascii="Calibri" w:hAnsi="Calibri"/>
                <w:sz w:val="20"/>
                <w:szCs w:val="20"/>
                <w:lang w:val="sr-Latn-BA" w:eastAsia="sr-Latn-BA"/>
              </w:rPr>
            </w:pPr>
            <w:r w:rsidRPr="002F747B">
              <w:rPr>
                <w:rFonts w:ascii="Calibri" w:hAnsi="Calibri"/>
                <w:sz w:val="20"/>
                <w:szCs w:val="20"/>
                <w:lang w:val="sr-Latn-BA" w:eastAsia="sr-Latn-BA"/>
              </w:rPr>
              <w:t>14.690</w:t>
            </w:r>
          </w:p>
        </w:tc>
        <w:tc>
          <w:tcPr>
            <w:tcW w:w="1400" w:type="dxa"/>
            <w:tcBorders>
              <w:top w:val="nil"/>
              <w:left w:val="nil"/>
              <w:bottom w:val="nil"/>
              <w:right w:val="nil"/>
            </w:tcBorders>
            <w:shd w:val="clear" w:color="000000" w:fill="FFFFFF"/>
            <w:noWrap/>
            <w:vAlign w:val="bottom"/>
            <w:hideMark/>
          </w:tcPr>
          <w:p w:rsidR="00AC7A67" w:rsidRPr="002F747B" w:rsidRDefault="00AC7A67" w:rsidP="009D6E96">
            <w:pPr>
              <w:jc w:val="right"/>
              <w:rPr>
                <w:rFonts w:ascii="Calibri" w:hAnsi="Calibri"/>
                <w:sz w:val="20"/>
                <w:szCs w:val="20"/>
                <w:lang w:val="sr-Latn-BA" w:eastAsia="sr-Latn-BA"/>
              </w:rPr>
            </w:pPr>
            <w:r w:rsidRPr="002F747B">
              <w:rPr>
                <w:rFonts w:ascii="Calibri" w:hAnsi="Calibri"/>
                <w:sz w:val="20"/>
                <w:szCs w:val="20"/>
                <w:lang w:val="sr-Latn-BA" w:eastAsia="sr-Latn-BA"/>
              </w:rPr>
              <w:t>9,29%</w:t>
            </w:r>
          </w:p>
        </w:tc>
        <w:tc>
          <w:tcPr>
            <w:tcW w:w="2000" w:type="dxa"/>
            <w:tcBorders>
              <w:top w:val="nil"/>
              <w:left w:val="nil"/>
              <w:bottom w:val="nil"/>
              <w:right w:val="nil"/>
            </w:tcBorders>
            <w:shd w:val="clear" w:color="000000" w:fill="FFFFFF"/>
            <w:noWrap/>
            <w:vAlign w:val="bottom"/>
            <w:hideMark/>
          </w:tcPr>
          <w:p w:rsidR="00AC7A67" w:rsidRPr="00C442E1" w:rsidRDefault="002F747B" w:rsidP="009D6E96">
            <w:pPr>
              <w:jc w:val="right"/>
              <w:rPr>
                <w:rFonts w:ascii="Calibri" w:hAnsi="Calibri"/>
                <w:sz w:val="20"/>
                <w:szCs w:val="20"/>
                <w:lang w:val="sr-Latn-BA" w:eastAsia="sr-Latn-BA"/>
              </w:rPr>
            </w:pPr>
            <w:r w:rsidRPr="00C442E1">
              <w:rPr>
                <w:rFonts w:ascii="Calibri" w:hAnsi="Calibri"/>
                <w:sz w:val="20"/>
                <w:szCs w:val="20"/>
                <w:lang w:val="sr-Latn-BA" w:eastAsia="sr-Latn-BA"/>
              </w:rPr>
              <w:t>0,51</w:t>
            </w:r>
            <w:r w:rsidR="00AC7A67" w:rsidRPr="00C442E1">
              <w:rPr>
                <w:rFonts w:ascii="Calibri" w:hAnsi="Calibri"/>
                <w:sz w:val="20"/>
                <w:szCs w:val="20"/>
                <w:lang w:val="sr-Latn-BA" w:eastAsia="sr-Latn-BA"/>
              </w:rPr>
              <w:t>%</w:t>
            </w:r>
          </w:p>
        </w:tc>
      </w:tr>
      <w:tr w:rsidR="00AC7A67" w:rsidRPr="00707478" w:rsidTr="009D6E96">
        <w:trPr>
          <w:trHeight w:val="318"/>
        </w:trPr>
        <w:tc>
          <w:tcPr>
            <w:tcW w:w="3640" w:type="dxa"/>
            <w:tcBorders>
              <w:top w:val="nil"/>
              <w:left w:val="nil"/>
              <w:bottom w:val="nil"/>
              <w:right w:val="nil"/>
            </w:tcBorders>
            <w:shd w:val="clear" w:color="000000" w:fill="FFFFFF"/>
            <w:noWrap/>
            <w:vAlign w:val="bottom"/>
            <w:hideMark/>
          </w:tcPr>
          <w:p w:rsidR="00AC7A67" w:rsidRPr="004410D1" w:rsidRDefault="00AC7A67" w:rsidP="009D6E96">
            <w:pPr>
              <w:rPr>
                <w:rFonts w:ascii="Calibri" w:hAnsi="Calibri"/>
                <w:sz w:val="20"/>
                <w:szCs w:val="20"/>
                <w:lang w:val="sr-Latn-BA" w:eastAsia="sr-Latn-BA"/>
              </w:rPr>
            </w:pPr>
            <w:r>
              <w:rPr>
                <w:rFonts w:ascii="Calibri" w:hAnsi="Calibri"/>
                <w:sz w:val="20"/>
                <w:szCs w:val="20"/>
                <w:lang w:val="sr-Latn-BA" w:eastAsia="sr-Latn-BA"/>
              </w:rPr>
              <w:t xml:space="preserve">Duvan ad, Bijeljina </w:t>
            </w:r>
            <w:r w:rsidRPr="004410D1">
              <w:rPr>
                <w:rFonts w:ascii="Calibri" w:hAnsi="Calibri"/>
                <w:sz w:val="20"/>
                <w:szCs w:val="20"/>
                <w:lang w:val="sr-Latn-BA" w:eastAsia="sr-Latn-BA"/>
              </w:rPr>
              <w:t xml:space="preserve"> </w:t>
            </w:r>
          </w:p>
        </w:tc>
        <w:tc>
          <w:tcPr>
            <w:tcW w:w="2180" w:type="dxa"/>
            <w:tcBorders>
              <w:top w:val="nil"/>
              <w:left w:val="nil"/>
              <w:bottom w:val="nil"/>
              <w:right w:val="nil"/>
            </w:tcBorders>
            <w:shd w:val="clear" w:color="000000" w:fill="FFFFFF"/>
            <w:vAlign w:val="bottom"/>
            <w:hideMark/>
          </w:tcPr>
          <w:p w:rsidR="00AC7A67" w:rsidRPr="002F747B" w:rsidRDefault="007253F5" w:rsidP="009D6E96">
            <w:pPr>
              <w:jc w:val="right"/>
              <w:rPr>
                <w:rFonts w:ascii="Calibri" w:hAnsi="Calibri"/>
                <w:sz w:val="20"/>
                <w:szCs w:val="20"/>
                <w:lang w:val="sr-Latn-BA" w:eastAsia="sr-Latn-BA"/>
              </w:rPr>
            </w:pPr>
            <w:r w:rsidRPr="002F747B">
              <w:rPr>
                <w:rFonts w:ascii="Calibri" w:hAnsi="Calibri"/>
                <w:sz w:val="20"/>
                <w:szCs w:val="20"/>
                <w:lang w:val="sr-Latn-BA" w:eastAsia="sr-Latn-BA"/>
              </w:rPr>
              <w:t>8.840</w:t>
            </w:r>
          </w:p>
        </w:tc>
        <w:tc>
          <w:tcPr>
            <w:tcW w:w="1400" w:type="dxa"/>
            <w:tcBorders>
              <w:top w:val="nil"/>
              <w:left w:val="nil"/>
              <w:bottom w:val="nil"/>
              <w:right w:val="nil"/>
            </w:tcBorders>
            <w:shd w:val="clear" w:color="000000" w:fill="FFFFFF"/>
            <w:noWrap/>
            <w:vAlign w:val="bottom"/>
            <w:hideMark/>
          </w:tcPr>
          <w:p w:rsidR="00AC7A67" w:rsidRPr="002F747B" w:rsidRDefault="00AC7A67" w:rsidP="009D6E96">
            <w:pPr>
              <w:jc w:val="right"/>
              <w:rPr>
                <w:rFonts w:ascii="Calibri" w:hAnsi="Calibri"/>
                <w:sz w:val="20"/>
                <w:szCs w:val="20"/>
                <w:lang w:val="sr-Latn-BA" w:eastAsia="sr-Latn-BA"/>
              </w:rPr>
            </w:pPr>
            <w:r w:rsidRPr="002F747B">
              <w:rPr>
                <w:rFonts w:ascii="Calibri" w:hAnsi="Calibri"/>
                <w:sz w:val="20"/>
                <w:szCs w:val="20"/>
                <w:lang w:val="sr-Latn-BA" w:eastAsia="sr-Latn-BA"/>
              </w:rPr>
              <w:t>0,89%</w:t>
            </w:r>
          </w:p>
        </w:tc>
        <w:tc>
          <w:tcPr>
            <w:tcW w:w="2000" w:type="dxa"/>
            <w:tcBorders>
              <w:top w:val="nil"/>
              <w:left w:val="nil"/>
              <w:bottom w:val="nil"/>
              <w:right w:val="nil"/>
            </w:tcBorders>
            <w:shd w:val="clear" w:color="000000" w:fill="FFFFFF"/>
            <w:noWrap/>
            <w:vAlign w:val="bottom"/>
            <w:hideMark/>
          </w:tcPr>
          <w:p w:rsidR="00AC7A67" w:rsidRPr="00C442E1" w:rsidRDefault="00AC7A67" w:rsidP="002F747B">
            <w:pPr>
              <w:jc w:val="right"/>
              <w:rPr>
                <w:rFonts w:ascii="Calibri" w:hAnsi="Calibri"/>
                <w:sz w:val="20"/>
                <w:szCs w:val="20"/>
                <w:lang w:val="sr-Latn-BA" w:eastAsia="sr-Latn-BA"/>
              </w:rPr>
            </w:pPr>
            <w:r w:rsidRPr="00C442E1">
              <w:rPr>
                <w:rFonts w:ascii="Calibri" w:hAnsi="Calibri"/>
                <w:sz w:val="20"/>
                <w:szCs w:val="20"/>
                <w:lang w:val="sr-Latn-BA" w:eastAsia="sr-Latn-BA"/>
              </w:rPr>
              <w:t>0,</w:t>
            </w:r>
            <w:r w:rsidR="002F747B" w:rsidRPr="00C442E1">
              <w:rPr>
                <w:rFonts w:ascii="Calibri" w:hAnsi="Calibri"/>
                <w:sz w:val="20"/>
                <w:szCs w:val="20"/>
                <w:lang w:val="sr-Latn-BA" w:eastAsia="sr-Latn-BA"/>
              </w:rPr>
              <w:t>31</w:t>
            </w:r>
            <w:r w:rsidRPr="00C442E1">
              <w:rPr>
                <w:rFonts w:ascii="Calibri" w:hAnsi="Calibri"/>
                <w:sz w:val="20"/>
                <w:szCs w:val="20"/>
                <w:lang w:val="sr-Latn-BA" w:eastAsia="sr-Latn-BA"/>
              </w:rPr>
              <w:t>%</w:t>
            </w:r>
          </w:p>
        </w:tc>
      </w:tr>
      <w:tr w:rsidR="00AC7A67" w:rsidRPr="00707478" w:rsidTr="009D6E96">
        <w:trPr>
          <w:trHeight w:val="345"/>
        </w:trPr>
        <w:tc>
          <w:tcPr>
            <w:tcW w:w="3640" w:type="dxa"/>
            <w:tcBorders>
              <w:top w:val="nil"/>
              <w:left w:val="nil"/>
              <w:bottom w:val="nil"/>
              <w:right w:val="nil"/>
            </w:tcBorders>
            <w:shd w:val="clear" w:color="000000" w:fill="FFFFFF"/>
            <w:noWrap/>
            <w:vAlign w:val="bottom"/>
            <w:hideMark/>
          </w:tcPr>
          <w:p w:rsidR="00AC7A67" w:rsidRPr="00707478" w:rsidRDefault="00AC7A67" w:rsidP="009D6E96">
            <w:pPr>
              <w:rPr>
                <w:rFonts w:ascii="Calibri" w:hAnsi="Calibri"/>
                <w:sz w:val="20"/>
                <w:szCs w:val="20"/>
                <w:lang w:val="sr-Latn-BA" w:eastAsia="sr-Latn-BA"/>
              </w:rPr>
            </w:pPr>
            <w:r>
              <w:rPr>
                <w:rFonts w:ascii="Calibri" w:hAnsi="Calibri"/>
                <w:sz w:val="20"/>
                <w:szCs w:val="20"/>
                <w:lang w:val="sr-Latn-BA" w:eastAsia="sr-Latn-BA"/>
              </w:rPr>
              <w:t xml:space="preserve">Obveznice PPMK-O-F </w:t>
            </w:r>
          </w:p>
        </w:tc>
        <w:tc>
          <w:tcPr>
            <w:tcW w:w="2180" w:type="dxa"/>
            <w:tcBorders>
              <w:top w:val="nil"/>
              <w:left w:val="nil"/>
              <w:bottom w:val="nil"/>
              <w:right w:val="nil"/>
            </w:tcBorders>
            <w:shd w:val="clear" w:color="000000" w:fill="FFFFFF"/>
            <w:vAlign w:val="bottom"/>
            <w:hideMark/>
          </w:tcPr>
          <w:p w:rsidR="00AC7A67" w:rsidRPr="002F747B" w:rsidRDefault="002F747B" w:rsidP="009D6E96">
            <w:pPr>
              <w:jc w:val="right"/>
              <w:rPr>
                <w:rFonts w:ascii="Calibri" w:hAnsi="Calibri"/>
                <w:sz w:val="20"/>
                <w:szCs w:val="20"/>
                <w:lang w:val="sr-Latn-BA" w:eastAsia="sr-Latn-BA"/>
              </w:rPr>
            </w:pPr>
            <w:r w:rsidRPr="002F747B">
              <w:rPr>
                <w:rFonts w:ascii="Calibri" w:hAnsi="Calibri"/>
                <w:sz w:val="20"/>
                <w:szCs w:val="20"/>
                <w:lang w:val="sr-Latn-BA" w:eastAsia="sr-Latn-BA"/>
              </w:rPr>
              <w:t>33.552</w:t>
            </w:r>
          </w:p>
        </w:tc>
        <w:tc>
          <w:tcPr>
            <w:tcW w:w="1400" w:type="dxa"/>
            <w:tcBorders>
              <w:top w:val="nil"/>
              <w:left w:val="nil"/>
              <w:bottom w:val="nil"/>
              <w:right w:val="nil"/>
            </w:tcBorders>
            <w:shd w:val="clear" w:color="000000" w:fill="FFFFFF"/>
            <w:noWrap/>
            <w:vAlign w:val="bottom"/>
            <w:hideMark/>
          </w:tcPr>
          <w:p w:rsidR="00AC7A67" w:rsidRPr="002F747B" w:rsidRDefault="00AC7A67" w:rsidP="009D6E96">
            <w:pPr>
              <w:jc w:val="right"/>
              <w:rPr>
                <w:rFonts w:ascii="Calibri" w:hAnsi="Calibri"/>
                <w:sz w:val="20"/>
                <w:szCs w:val="20"/>
                <w:lang w:val="sr-Latn-BA" w:eastAsia="sr-Latn-BA"/>
              </w:rPr>
            </w:pPr>
            <w:r w:rsidRPr="002F747B">
              <w:rPr>
                <w:rFonts w:ascii="Calibri" w:hAnsi="Calibri"/>
                <w:sz w:val="20"/>
                <w:szCs w:val="20"/>
                <w:lang w:val="sr-Latn-BA" w:eastAsia="sr-Latn-BA"/>
              </w:rPr>
              <w:t>3,33%</w:t>
            </w:r>
          </w:p>
        </w:tc>
        <w:tc>
          <w:tcPr>
            <w:tcW w:w="2000" w:type="dxa"/>
            <w:tcBorders>
              <w:top w:val="nil"/>
              <w:left w:val="nil"/>
              <w:bottom w:val="nil"/>
              <w:right w:val="nil"/>
            </w:tcBorders>
            <w:shd w:val="clear" w:color="000000" w:fill="FFFFFF"/>
            <w:noWrap/>
            <w:vAlign w:val="bottom"/>
            <w:hideMark/>
          </w:tcPr>
          <w:p w:rsidR="00AC7A67" w:rsidRPr="00C442E1" w:rsidRDefault="002F747B" w:rsidP="009D6E96">
            <w:pPr>
              <w:jc w:val="right"/>
              <w:rPr>
                <w:rFonts w:ascii="Calibri" w:hAnsi="Calibri"/>
                <w:sz w:val="20"/>
                <w:szCs w:val="20"/>
                <w:lang w:val="sr-Latn-BA" w:eastAsia="sr-Latn-BA"/>
              </w:rPr>
            </w:pPr>
            <w:r w:rsidRPr="00C442E1">
              <w:rPr>
                <w:rFonts w:ascii="Calibri" w:hAnsi="Calibri"/>
                <w:sz w:val="20"/>
                <w:szCs w:val="20"/>
                <w:lang w:val="sr-Latn-BA" w:eastAsia="sr-Latn-BA"/>
              </w:rPr>
              <w:t>1,17</w:t>
            </w:r>
            <w:r w:rsidR="00AC7A67" w:rsidRPr="00C442E1">
              <w:rPr>
                <w:rFonts w:ascii="Calibri" w:hAnsi="Calibri"/>
                <w:sz w:val="20"/>
                <w:szCs w:val="20"/>
                <w:lang w:val="sr-Latn-BA" w:eastAsia="sr-Latn-BA"/>
              </w:rPr>
              <w:t>%</w:t>
            </w:r>
          </w:p>
        </w:tc>
      </w:tr>
      <w:tr w:rsidR="00AC7A67" w:rsidRPr="00707478" w:rsidTr="009D6E96">
        <w:trPr>
          <w:trHeight w:val="345"/>
        </w:trPr>
        <w:tc>
          <w:tcPr>
            <w:tcW w:w="3640" w:type="dxa"/>
            <w:tcBorders>
              <w:top w:val="nil"/>
              <w:left w:val="nil"/>
              <w:bottom w:val="nil"/>
              <w:right w:val="nil"/>
            </w:tcBorders>
            <w:shd w:val="clear" w:color="000000" w:fill="FFFFFF"/>
            <w:noWrap/>
            <w:vAlign w:val="bottom"/>
            <w:hideMark/>
          </w:tcPr>
          <w:p w:rsidR="00AC7A67" w:rsidRPr="00707478" w:rsidRDefault="00AC7A67" w:rsidP="009D6E96">
            <w:pPr>
              <w:rPr>
                <w:rFonts w:ascii="Calibri" w:hAnsi="Calibri"/>
                <w:sz w:val="20"/>
                <w:szCs w:val="20"/>
                <w:lang w:val="sr-Latn-BA" w:eastAsia="sr-Latn-BA"/>
              </w:rPr>
            </w:pPr>
            <w:r>
              <w:rPr>
                <w:rFonts w:ascii="Calibri" w:hAnsi="Calibri"/>
                <w:sz w:val="20"/>
                <w:szCs w:val="20"/>
                <w:lang w:val="sr-Latn-BA" w:eastAsia="sr-Latn-BA"/>
              </w:rPr>
              <w:t xml:space="preserve">Obveznice RSRS-O-M </w:t>
            </w:r>
          </w:p>
        </w:tc>
        <w:tc>
          <w:tcPr>
            <w:tcW w:w="2180" w:type="dxa"/>
            <w:tcBorders>
              <w:top w:val="nil"/>
              <w:left w:val="nil"/>
              <w:bottom w:val="nil"/>
              <w:right w:val="nil"/>
            </w:tcBorders>
            <w:shd w:val="clear" w:color="000000" w:fill="FFFFFF"/>
            <w:vAlign w:val="bottom"/>
            <w:hideMark/>
          </w:tcPr>
          <w:p w:rsidR="00AC7A67" w:rsidRPr="002F747B" w:rsidRDefault="002F747B" w:rsidP="009D6E96">
            <w:pPr>
              <w:jc w:val="right"/>
              <w:rPr>
                <w:rFonts w:ascii="Calibri" w:hAnsi="Calibri"/>
                <w:sz w:val="20"/>
                <w:szCs w:val="20"/>
                <w:lang w:val="sr-Latn-BA" w:eastAsia="sr-Latn-BA"/>
              </w:rPr>
            </w:pPr>
            <w:r w:rsidRPr="002F747B">
              <w:rPr>
                <w:rFonts w:ascii="Calibri" w:hAnsi="Calibri"/>
                <w:sz w:val="20"/>
                <w:szCs w:val="20"/>
                <w:lang w:val="sr-Latn-BA" w:eastAsia="sr-Latn-BA"/>
              </w:rPr>
              <w:t>349.609</w:t>
            </w:r>
          </w:p>
        </w:tc>
        <w:tc>
          <w:tcPr>
            <w:tcW w:w="1400" w:type="dxa"/>
            <w:tcBorders>
              <w:top w:val="nil"/>
              <w:left w:val="nil"/>
              <w:bottom w:val="nil"/>
              <w:right w:val="nil"/>
            </w:tcBorders>
            <w:shd w:val="clear" w:color="000000" w:fill="FFFFFF"/>
            <w:noWrap/>
            <w:vAlign w:val="bottom"/>
            <w:hideMark/>
          </w:tcPr>
          <w:p w:rsidR="00AC7A67" w:rsidRPr="002F747B" w:rsidRDefault="002F747B" w:rsidP="009D6E96">
            <w:pPr>
              <w:jc w:val="right"/>
              <w:rPr>
                <w:rFonts w:ascii="Calibri" w:hAnsi="Calibri"/>
                <w:sz w:val="20"/>
                <w:szCs w:val="20"/>
                <w:lang w:val="sr-Latn-BA" w:eastAsia="sr-Latn-BA"/>
              </w:rPr>
            </w:pPr>
            <w:r w:rsidRPr="002F747B">
              <w:rPr>
                <w:rFonts w:ascii="Calibri" w:hAnsi="Calibri"/>
                <w:sz w:val="20"/>
                <w:szCs w:val="20"/>
                <w:lang w:val="sr-Latn-BA" w:eastAsia="sr-Latn-BA"/>
              </w:rPr>
              <w:t>2,43</w:t>
            </w:r>
            <w:r w:rsidR="00AC7A67" w:rsidRPr="002F747B">
              <w:rPr>
                <w:rFonts w:ascii="Calibri" w:hAnsi="Calibri"/>
                <w:sz w:val="20"/>
                <w:szCs w:val="20"/>
                <w:lang w:val="sr-Latn-BA" w:eastAsia="sr-Latn-BA"/>
              </w:rPr>
              <w:t>%</w:t>
            </w:r>
          </w:p>
        </w:tc>
        <w:tc>
          <w:tcPr>
            <w:tcW w:w="2000" w:type="dxa"/>
            <w:tcBorders>
              <w:top w:val="nil"/>
              <w:left w:val="nil"/>
              <w:bottom w:val="nil"/>
              <w:right w:val="nil"/>
            </w:tcBorders>
            <w:shd w:val="clear" w:color="000000" w:fill="FFFFFF"/>
            <w:noWrap/>
            <w:vAlign w:val="bottom"/>
            <w:hideMark/>
          </w:tcPr>
          <w:p w:rsidR="00AC7A67" w:rsidRPr="00C442E1" w:rsidRDefault="00C442E1" w:rsidP="009D6E96">
            <w:pPr>
              <w:jc w:val="right"/>
              <w:rPr>
                <w:rFonts w:ascii="Calibri" w:hAnsi="Calibri"/>
                <w:sz w:val="20"/>
                <w:szCs w:val="20"/>
                <w:lang w:val="sr-Latn-BA" w:eastAsia="sr-Latn-BA"/>
              </w:rPr>
            </w:pPr>
            <w:r w:rsidRPr="00C442E1">
              <w:rPr>
                <w:rFonts w:ascii="Calibri" w:hAnsi="Calibri"/>
                <w:sz w:val="20"/>
                <w:szCs w:val="20"/>
                <w:lang w:val="sr-Latn-BA" w:eastAsia="sr-Latn-BA"/>
              </w:rPr>
              <w:t>1</w:t>
            </w:r>
            <w:r>
              <w:rPr>
                <w:rFonts w:ascii="Calibri" w:hAnsi="Calibri"/>
                <w:sz w:val="20"/>
                <w:szCs w:val="20"/>
                <w:lang w:val="sr-Latn-BA" w:eastAsia="sr-Latn-BA"/>
              </w:rPr>
              <w:t>2,41</w:t>
            </w:r>
            <w:r w:rsidRPr="00C442E1">
              <w:rPr>
                <w:rFonts w:ascii="Calibri" w:hAnsi="Calibri"/>
                <w:sz w:val="20"/>
                <w:szCs w:val="20"/>
                <w:lang w:val="sr-Latn-BA" w:eastAsia="sr-Latn-BA"/>
              </w:rPr>
              <w:t>%</w:t>
            </w:r>
          </w:p>
        </w:tc>
      </w:tr>
      <w:tr w:rsidR="00AC7A67" w:rsidRPr="00707478" w:rsidTr="009D6E96">
        <w:trPr>
          <w:trHeight w:val="326"/>
        </w:trPr>
        <w:tc>
          <w:tcPr>
            <w:tcW w:w="3640" w:type="dxa"/>
            <w:tcBorders>
              <w:top w:val="nil"/>
              <w:left w:val="nil"/>
              <w:bottom w:val="nil"/>
              <w:right w:val="nil"/>
            </w:tcBorders>
            <w:shd w:val="clear" w:color="000000" w:fill="FFFFFF"/>
            <w:noWrap/>
            <w:vAlign w:val="bottom"/>
            <w:hideMark/>
          </w:tcPr>
          <w:p w:rsidR="00AC7A67" w:rsidRDefault="00AC7A67" w:rsidP="009D6E96">
            <w:pPr>
              <w:rPr>
                <w:rFonts w:ascii="Calibri" w:hAnsi="Calibri"/>
                <w:b/>
                <w:bCs/>
                <w:sz w:val="20"/>
                <w:szCs w:val="20"/>
                <w:lang w:val="sr-Latn-BA" w:eastAsia="sr-Latn-BA"/>
              </w:rPr>
            </w:pPr>
          </w:p>
          <w:p w:rsidR="00AC7A67" w:rsidRDefault="00AC7A67" w:rsidP="009D6E96">
            <w:pPr>
              <w:rPr>
                <w:rFonts w:ascii="Calibri" w:hAnsi="Calibri"/>
                <w:b/>
                <w:bCs/>
                <w:sz w:val="20"/>
                <w:szCs w:val="20"/>
                <w:lang w:val="sr-Latn-BA" w:eastAsia="sr-Latn-BA"/>
              </w:rPr>
            </w:pPr>
          </w:p>
          <w:p w:rsidR="00AC7A67" w:rsidRDefault="00AC7A67" w:rsidP="009D6E96">
            <w:pPr>
              <w:rPr>
                <w:rFonts w:ascii="Calibri" w:hAnsi="Calibri"/>
                <w:b/>
                <w:bCs/>
                <w:sz w:val="20"/>
                <w:szCs w:val="20"/>
                <w:lang w:val="sr-Latn-BA" w:eastAsia="sr-Latn-BA"/>
              </w:rPr>
            </w:pPr>
          </w:p>
          <w:p w:rsidR="00AC7A67" w:rsidRDefault="00AC7A67" w:rsidP="009D6E96">
            <w:pPr>
              <w:rPr>
                <w:rFonts w:ascii="Calibri" w:hAnsi="Calibri"/>
                <w:b/>
                <w:bCs/>
                <w:sz w:val="20"/>
                <w:szCs w:val="20"/>
                <w:lang w:val="sr-Latn-BA" w:eastAsia="sr-Latn-BA"/>
              </w:rPr>
            </w:pPr>
          </w:p>
          <w:p w:rsidR="00AC7A67" w:rsidRPr="00707478" w:rsidRDefault="00AC7A67" w:rsidP="009D6E96">
            <w:pPr>
              <w:rPr>
                <w:rFonts w:ascii="Calibri" w:hAnsi="Calibri"/>
                <w:b/>
                <w:bCs/>
                <w:sz w:val="20"/>
                <w:szCs w:val="20"/>
                <w:lang w:val="sr-Latn-BA" w:eastAsia="sr-Latn-BA"/>
              </w:rPr>
            </w:pPr>
            <w:r w:rsidRPr="00707478">
              <w:rPr>
                <w:rFonts w:ascii="Calibri" w:hAnsi="Calibri"/>
                <w:b/>
                <w:bCs/>
                <w:sz w:val="20"/>
                <w:szCs w:val="20"/>
                <w:lang w:val="sr-Latn-BA" w:eastAsia="sr-Latn-BA"/>
              </w:rPr>
              <w:t>Stanje na dan 31</w:t>
            </w:r>
            <w:r w:rsidR="002F747B">
              <w:rPr>
                <w:rFonts w:ascii="Calibri" w:hAnsi="Calibri"/>
                <w:b/>
                <w:bCs/>
                <w:sz w:val="20"/>
                <w:szCs w:val="20"/>
                <w:lang w:val="sr-Latn-BA" w:eastAsia="sr-Latn-BA"/>
              </w:rPr>
              <w:t>. decembra 2020</w:t>
            </w:r>
            <w:r w:rsidRPr="00707478">
              <w:rPr>
                <w:rFonts w:ascii="Calibri" w:hAnsi="Calibri"/>
                <w:b/>
                <w:bCs/>
                <w:sz w:val="20"/>
                <w:szCs w:val="20"/>
                <w:lang w:val="sr-Latn-BA" w:eastAsia="sr-Latn-BA"/>
              </w:rPr>
              <w:t>.</w:t>
            </w:r>
          </w:p>
        </w:tc>
        <w:tc>
          <w:tcPr>
            <w:tcW w:w="2180" w:type="dxa"/>
            <w:tcBorders>
              <w:top w:val="nil"/>
              <w:left w:val="nil"/>
              <w:bottom w:val="double" w:sz="6" w:space="0" w:color="auto"/>
              <w:right w:val="nil"/>
            </w:tcBorders>
            <w:shd w:val="clear" w:color="000000" w:fill="FFFFFF"/>
            <w:noWrap/>
            <w:vAlign w:val="bottom"/>
            <w:hideMark/>
          </w:tcPr>
          <w:p w:rsidR="00AC7A67" w:rsidRPr="00707478" w:rsidRDefault="002F747B" w:rsidP="009D6E96">
            <w:pPr>
              <w:jc w:val="right"/>
              <w:rPr>
                <w:rFonts w:ascii="Calibri" w:hAnsi="Calibri"/>
                <w:color w:val="000000"/>
                <w:sz w:val="20"/>
                <w:szCs w:val="20"/>
                <w:lang w:val="sr-Latn-BA" w:eastAsia="sr-Latn-BA"/>
              </w:rPr>
            </w:pPr>
            <w:r>
              <w:rPr>
                <w:rFonts w:ascii="Calibri" w:hAnsi="Calibri"/>
                <w:color w:val="000000"/>
                <w:sz w:val="20"/>
                <w:szCs w:val="20"/>
                <w:lang w:val="sr-Latn-BA" w:eastAsia="sr-Latn-BA"/>
              </w:rPr>
              <w:t>606.267</w:t>
            </w:r>
            <w:r w:rsidR="00AC7A67" w:rsidRPr="00707478">
              <w:rPr>
                <w:rFonts w:ascii="Calibri" w:hAnsi="Calibri"/>
                <w:color w:val="000000"/>
                <w:sz w:val="20"/>
                <w:szCs w:val="20"/>
                <w:lang w:val="sr-Latn-BA" w:eastAsia="sr-Latn-BA"/>
              </w:rPr>
              <w:t xml:space="preserve"> </w:t>
            </w:r>
          </w:p>
        </w:tc>
        <w:tc>
          <w:tcPr>
            <w:tcW w:w="1400" w:type="dxa"/>
            <w:tcBorders>
              <w:top w:val="nil"/>
              <w:left w:val="nil"/>
              <w:bottom w:val="double" w:sz="6" w:space="0" w:color="auto"/>
              <w:right w:val="nil"/>
            </w:tcBorders>
            <w:shd w:val="clear" w:color="000000" w:fill="FFFFFF"/>
            <w:noWrap/>
            <w:vAlign w:val="bottom"/>
            <w:hideMark/>
          </w:tcPr>
          <w:p w:rsidR="00AC7A67" w:rsidRPr="00707478" w:rsidRDefault="00AC7A67" w:rsidP="009D6E96">
            <w:pPr>
              <w:rPr>
                <w:rFonts w:ascii="Calibri" w:hAnsi="Calibri"/>
                <w:color w:val="000000"/>
                <w:sz w:val="20"/>
                <w:szCs w:val="20"/>
                <w:lang w:val="sr-Latn-BA" w:eastAsia="sr-Latn-BA"/>
              </w:rPr>
            </w:pPr>
            <w:r w:rsidRPr="00707478">
              <w:rPr>
                <w:rFonts w:ascii="Calibri" w:hAnsi="Calibri"/>
                <w:color w:val="000000"/>
                <w:sz w:val="20"/>
                <w:szCs w:val="20"/>
                <w:lang w:val="sr-Latn-BA" w:eastAsia="sr-Latn-BA"/>
              </w:rPr>
              <w:t> </w:t>
            </w:r>
          </w:p>
        </w:tc>
        <w:tc>
          <w:tcPr>
            <w:tcW w:w="2000" w:type="dxa"/>
            <w:tcBorders>
              <w:top w:val="nil"/>
              <w:left w:val="nil"/>
              <w:bottom w:val="double" w:sz="6" w:space="0" w:color="auto"/>
              <w:right w:val="nil"/>
            </w:tcBorders>
            <w:shd w:val="clear" w:color="000000" w:fill="FFFFFF"/>
            <w:noWrap/>
            <w:vAlign w:val="bottom"/>
            <w:hideMark/>
          </w:tcPr>
          <w:p w:rsidR="00AC7A67" w:rsidRPr="00707478" w:rsidRDefault="00AC7A67" w:rsidP="009D6E96">
            <w:pPr>
              <w:rPr>
                <w:rFonts w:ascii="Calibri" w:hAnsi="Calibri"/>
                <w:color w:val="000000"/>
                <w:sz w:val="20"/>
                <w:szCs w:val="20"/>
                <w:lang w:val="sr-Latn-BA" w:eastAsia="sr-Latn-BA"/>
              </w:rPr>
            </w:pPr>
            <w:r w:rsidRPr="00707478">
              <w:rPr>
                <w:rFonts w:ascii="Calibri" w:hAnsi="Calibri"/>
                <w:color w:val="000000"/>
                <w:sz w:val="20"/>
                <w:szCs w:val="20"/>
                <w:lang w:val="sr-Latn-BA" w:eastAsia="sr-Latn-BA"/>
              </w:rPr>
              <w:t> </w:t>
            </w:r>
          </w:p>
        </w:tc>
      </w:tr>
    </w:tbl>
    <w:p w:rsidR="00707478" w:rsidRDefault="00707478" w:rsidP="002A3CF5">
      <w:pPr>
        <w:tabs>
          <w:tab w:val="left" w:pos="-1440"/>
          <w:tab w:val="left" w:pos="-720"/>
          <w:tab w:val="left" w:pos="0"/>
          <w:tab w:val="left" w:pos="709"/>
          <w:tab w:val="left" w:pos="889"/>
          <w:tab w:val="left" w:pos="1094"/>
          <w:tab w:val="left" w:pos="4514"/>
          <w:tab w:val="right" w:pos="5472"/>
          <w:tab w:val="left" w:pos="5677"/>
          <w:tab w:val="right" w:pos="6635"/>
          <w:tab w:val="left" w:pos="6840"/>
          <w:tab w:val="right" w:pos="7729"/>
          <w:tab w:val="left" w:pos="7934"/>
          <w:tab w:val="right" w:pos="8960"/>
        </w:tabs>
        <w:suppressAutoHyphens/>
        <w:jc w:val="both"/>
        <w:rPr>
          <w:rFonts w:ascii="Calibri" w:hAnsi="Calibri" w:cs="Calibri"/>
          <w:noProof/>
          <w:lang w:val="sr-Latn-CS"/>
        </w:rPr>
      </w:pPr>
    </w:p>
    <w:p w:rsidR="00707478" w:rsidRPr="00A47E7E" w:rsidRDefault="00707478" w:rsidP="002A3CF5">
      <w:pPr>
        <w:tabs>
          <w:tab w:val="left" w:pos="-1440"/>
          <w:tab w:val="left" w:pos="-720"/>
          <w:tab w:val="left" w:pos="0"/>
          <w:tab w:val="left" w:pos="709"/>
          <w:tab w:val="left" w:pos="889"/>
          <w:tab w:val="left" w:pos="1094"/>
          <w:tab w:val="left" w:pos="4514"/>
          <w:tab w:val="right" w:pos="5472"/>
          <w:tab w:val="left" w:pos="5677"/>
          <w:tab w:val="right" w:pos="6635"/>
          <w:tab w:val="left" w:pos="6840"/>
          <w:tab w:val="right" w:pos="7729"/>
          <w:tab w:val="left" w:pos="7934"/>
          <w:tab w:val="right" w:pos="8960"/>
        </w:tabs>
        <w:suppressAutoHyphens/>
        <w:jc w:val="both"/>
        <w:rPr>
          <w:rFonts w:ascii="Calibri" w:hAnsi="Calibri" w:cs="Calibri"/>
          <w:noProof/>
          <w:lang w:val="sr-Latn-CS"/>
        </w:rPr>
      </w:pPr>
    </w:p>
    <w:p w:rsidR="00FE5618" w:rsidRPr="00A47E7E" w:rsidRDefault="00FE5618" w:rsidP="00B64A52">
      <w:pPr>
        <w:pStyle w:val="Heading1"/>
        <w:rPr>
          <w:rFonts w:ascii="Calibri" w:hAnsi="Calibri" w:cs="Calibri"/>
          <w:noProof/>
          <w:sz w:val="24"/>
          <w:szCs w:val="24"/>
        </w:rPr>
      </w:pPr>
      <w:bookmarkStart w:id="25" w:name="_Toc64534453"/>
      <w:r w:rsidRPr="00A47E7E">
        <w:rPr>
          <w:rFonts w:ascii="Calibri" w:hAnsi="Calibri" w:cs="Calibri"/>
          <w:noProof/>
          <w:sz w:val="24"/>
          <w:szCs w:val="24"/>
        </w:rPr>
        <w:t>DEPOZITI I PLASMANI</w:t>
      </w:r>
      <w:bookmarkEnd w:id="25"/>
    </w:p>
    <w:tbl>
      <w:tblPr>
        <w:tblW w:w="9000" w:type="dxa"/>
        <w:tblInd w:w="99" w:type="dxa"/>
        <w:tblLook w:val="04A0" w:firstRow="1" w:lastRow="0" w:firstColumn="1" w:lastColumn="0" w:noHBand="0" w:noVBand="1"/>
      </w:tblPr>
      <w:tblGrid>
        <w:gridCol w:w="4600"/>
        <w:gridCol w:w="2360"/>
        <w:gridCol w:w="2040"/>
      </w:tblGrid>
      <w:tr w:rsidR="00C03459" w:rsidRPr="000E3CC9" w:rsidTr="000E3CC9">
        <w:trPr>
          <w:trHeight w:val="310"/>
        </w:trPr>
        <w:tc>
          <w:tcPr>
            <w:tcW w:w="4600" w:type="dxa"/>
            <w:tcBorders>
              <w:top w:val="nil"/>
              <w:left w:val="nil"/>
              <w:bottom w:val="nil"/>
              <w:right w:val="nil"/>
            </w:tcBorders>
            <w:shd w:val="clear" w:color="000000" w:fill="FFFFFF"/>
            <w:noWrap/>
            <w:vAlign w:val="bottom"/>
            <w:hideMark/>
          </w:tcPr>
          <w:p w:rsidR="00C03459" w:rsidRPr="000E3CC9" w:rsidRDefault="00C03459" w:rsidP="0078483D">
            <w:pPr>
              <w:rPr>
                <w:rFonts w:ascii="Calibri" w:hAnsi="Calibri"/>
                <w:color w:val="000000"/>
                <w:lang w:val="sr-Latn-BA" w:eastAsia="sr-Latn-BA"/>
              </w:rPr>
            </w:pPr>
            <w:r w:rsidRPr="000E3CC9">
              <w:rPr>
                <w:rFonts w:ascii="Calibri" w:hAnsi="Calibri"/>
                <w:color w:val="000000"/>
                <w:lang w:val="sr-Latn-BA" w:eastAsia="sr-Latn-BA"/>
              </w:rPr>
              <w:t> </w:t>
            </w:r>
          </w:p>
        </w:tc>
        <w:tc>
          <w:tcPr>
            <w:tcW w:w="2360" w:type="dxa"/>
            <w:tcBorders>
              <w:top w:val="nil"/>
              <w:left w:val="nil"/>
              <w:bottom w:val="nil"/>
              <w:right w:val="nil"/>
            </w:tcBorders>
            <w:shd w:val="clear" w:color="000000" w:fill="FFFFFF"/>
            <w:noWrap/>
            <w:vAlign w:val="bottom"/>
            <w:hideMark/>
          </w:tcPr>
          <w:p w:rsidR="00C03459" w:rsidRPr="000E3CC9" w:rsidRDefault="00C03459" w:rsidP="0078483D">
            <w:pPr>
              <w:jc w:val="center"/>
              <w:rPr>
                <w:rFonts w:ascii="Calibri" w:hAnsi="Calibri"/>
                <w:b/>
                <w:bCs/>
                <w:color w:val="000000"/>
                <w:lang w:val="sr-Latn-BA" w:eastAsia="sr-Latn-BA"/>
              </w:rPr>
            </w:pPr>
            <w:r>
              <w:rPr>
                <w:rFonts w:ascii="Calibri" w:hAnsi="Calibri"/>
                <w:b/>
                <w:bCs/>
                <w:color w:val="000000"/>
                <w:lang w:val="sr-Latn-BA" w:eastAsia="sr-Latn-BA"/>
              </w:rPr>
              <w:t>20</w:t>
            </w:r>
            <w:r w:rsidR="007F4407">
              <w:rPr>
                <w:rFonts w:ascii="Calibri" w:hAnsi="Calibri"/>
                <w:b/>
                <w:bCs/>
                <w:color w:val="000000"/>
                <w:lang w:val="sr-Latn-BA" w:eastAsia="sr-Latn-BA"/>
              </w:rPr>
              <w:t>2</w:t>
            </w:r>
            <w:r w:rsidR="002F747B">
              <w:rPr>
                <w:rFonts w:ascii="Calibri" w:hAnsi="Calibri"/>
                <w:b/>
                <w:bCs/>
                <w:color w:val="000000"/>
                <w:lang w:val="sr-Latn-BA" w:eastAsia="sr-Latn-BA"/>
              </w:rPr>
              <w:t>1</w:t>
            </w:r>
          </w:p>
        </w:tc>
        <w:tc>
          <w:tcPr>
            <w:tcW w:w="2040" w:type="dxa"/>
            <w:tcBorders>
              <w:top w:val="nil"/>
              <w:left w:val="nil"/>
              <w:bottom w:val="nil"/>
              <w:right w:val="nil"/>
            </w:tcBorders>
            <w:shd w:val="clear" w:color="000000" w:fill="FFFFFF"/>
            <w:noWrap/>
            <w:vAlign w:val="bottom"/>
            <w:hideMark/>
          </w:tcPr>
          <w:p w:rsidR="00C03459" w:rsidRPr="000E3CC9" w:rsidRDefault="00C03459" w:rsidP="0078483D">
            <w:pPr>
              <w:jc w:val="center"/>
              <w:rPr>
                <w:rFonts w:ascii="Calibri" w:hAnsi="Calibri"/>
                <w:b/>
                <w:bCs/>
                <w:color w:val="000000"/>
                <w:lang w:val="sr-Latn-BA" w:eastAsia="sr-Latn-BA"/>
              </w:rPr>
            </w:pPr>
            <w:r>
              <w:rPr>
                <w:rFonts w:ascii="Calibri" w:hAnsi="Calibri"/>
                <w:b/>
                <w:bCs/>
                <w:color w:val="000000"/>
                <w:lang w:val="sr-Latn-BA" w:eastAsia="sr-Latn-BA"/>
              </w:rPr>
              <w:t>20</w:t>
            </w:r>
            <w:r w:rsidR="002F747B">
              <w:rPr>
                <w:rFonts w:ascii="Calibri" w:hAnsi="Calibri"/>
                <w:b/>
                <w:bCs/>
                <w:color w:val="000000"/>
                <w:lang w:val="sr-Latn-BA" w:eastAsia="sr-Latn-BA"/>
              </w:rPr>
              <w:t>20</w:t>
            </w:r>
          </w:p>
        </w:tc>
      </w:tr>
      <w:tr w:rsidR="00C03459" w:rsidRPr="000E3CC9" w:rsidTr="0078483D">
        <w:trPr>
          <w:trHeight w:val="310"/>
        </w:trPr>
        <w:tc>
          <w:tcPr>
            <w:tcW w:w="4600" w:type="dxa"/>
            <w:tcBorders>
              <w:top w:val="nil"/>
              <w:left w:val="nil"/>
              <w:bottom w:val="nil"/>
              <w:right w:val="nil"/>
            </w:tcBorders>
            <w:shd w:val="clear" w:color="000000" w:fill="FFFFFF"/>
            <w:noWrap/>
            <w:vAlign w:val="bottom"/>
            <w:hideMark/>
          </w:tcPr>
          <w:p w:rsidR="00C03459" w:rsidRPr="000E3CC9" w:rsidRDefault="00C03459" w:rsidP="0078483D">
            <w:pPr>
              <w:rPr>
                <w:rFonts w:ascii="Calibri" w:hAnsi="Calibri"/>
                <w:color w:val="000000"/>
                <w:lang w:val="sr-Latn-BA" w:eastAsia="sr-Latn-BA"/>
              </w:rPr>
            </w:pPr>
            <w:r>
              <w:rPr>
                <w:rFonts w:ascii="Calibri" w:hAnsi="Calibri"/>
                <w:color w:val="000000"/>
                <w:lang w:val="sr-Latn-BA" w:eastAsia="sr-Latn-BA"/>
              </w:rPr>
              <w:t>Intesasanpaolo bank dd, Sarajevo</w:t>
            </w:r>
          </w:p>
        </w:tc>
        <w:tc>
          <w:tcPr>
            <w:tcW w:w="2360" w:type="dxa"/>
            <w:tcBorders>
              <w:top w:val="nil"/>
              <w:left w:val="nil"/>
              <w:bottom w:val="nil"/>
              <w:right w:val="nil"/>
            </w:tcBorders>
            <w:shd w:val="clear" w:color="000000" w:fill="FFFFFF"/>
            <w:noWrap/>
            <w:vAlign w:val="bottom"/>
            <w:hideMark/>
          </w:tcPr>
          <w:p w:rsidR="00C03459" w:rsidRPr="00E530E7" w:rsidRDefault="004D72DC" w:rsidP="0078483D">
            <w:pPr>
              <w:jc w:val="right"/>
              <w:rPr>
                <w:rFonts w:ascii="Calibri" w:hAnsi="Calibri"/>
                <w:color w:val="000000"/>
                <w:lang w:val="sr-Latn-BA" w:eastAsia="sr-Latn-BA"/>
              </w:rPr>
            </w:pPr>
            <w:r>
              <w:rPr>
                <w:rFonts w:ascii="Calibri" w:hAnsi="Calibri"/>
                <w:color w:val="000000"/>
                <w:lang w:val="sr-Latn-BA" w:eastAsia="sr-Latn-BA"/>
              </w:rPr>
              <w:t>0</w:t>
            </w:r>
            <w:r w:rsidR="00C03459" w:rsidRPr="00E530E7">
              <w:rPr>
                <w:rFonts w:ascii="Calibri" w:hAnsi="Calibri"/>
                <w:color w:val="000000"/>
                <w:lang w:val="sr-Latn-BA" w:eastAsia="sr-Latn-BA"/>
              </w:rPr>
              <w:t xml:space="preserve">    </w:t>
            </w:r>
          </w:p>
        </w:tc>
        <w:tc>
          <w:tcPr>
            <w:tcW w:w="2040" w:type="dxa"/>
            <w:tcBorders>
              <w:top w:val="nil"/>
              <w:left w:val="nil"/>
              <w:bottom w:val="nil"/>
              <w:right w:val="nil"/>
            </w:tcBorders>
            <w:shd w:val="clear" w:color="000000" w:fill="FFFFFF"/>
            <w:noWrap/>
            <w:vAlign w:val="bottom"/>
            <w:hideMark/>
          </w:tcPr>
          <w:p w:rsidR="00C03459" w:rsidRPr="000E3CC9" w:rsidRDefault="002D6A6A" w:rsidP="0078483D">
            <w:pPr>
              <w:jc w:val="right"/>
              <w:rPr>
                <w:rFonts w:ascii="Calibri" w:hAnsi="Calibri"/>
                <w:color w:val="000000"/>
                <w:lang w:val="sr-Latn-BA" w:eastAsia="sr-Latn-BA"/>
              </w:rPr>
            </w:pPr>
            <w:r>
              <w:rPr>
                <w:rFonts w:ascii="Calibri" w:hAnsi="Calibri"/>
                <w:color w:val="000000"/>
                <w:lang w:val="sr-Latn-BA" w:eastAsia="sr-Latn-BA"/>
              </w:rPr>
              <w:t>770.000</w:t>
            </w:r>
            <w:r w:rsidRPr="00E530E7">
              <w:rPr>
                <w:rFonts w:ascii="Calibri" w:hAnsi="Calibri"/>
                <w:color w:val="000000"/>
                <w:lang w:val="sr-Latn-BA" w:eastAsia="sr-Latn-BA"/>
              </w:rPr>
              <w:t xml:space="preserve">    </w:t>
            </w:r>
            <w:r w:rsidR="00C03459" w:rsidRPr="000E3CC9">
              <w:rPr>
                <w:rFonts w:ascii="Calibri" w:hAnsi="Calibri"/>
                <w:color w:val="000000"/>
                <w:lang w:val="sr-Latn-BA" w:eastAsia="sr-Latn-BA"/>
              </w:rPr>
              <w:t xml:space="preserve">    </w:t>
            </w:r>
          </w:p>
        </w:tc>
      </w:tr>
      <w:tr w:rsidR="00C03459" w:rsidRPr="000E3CC9" w:rsidTr="0078483D">
        <w:trPr>
          <w:trHeight w:val="310"/>
        </w:trPr>
        <w:tc>
          <w:tcPr>
            <w:tcW w:w="4600" w:type="dxa"/>
            <w:tcBorders>
              <w:top w:val="nil"/>
              <w:left w:val="nil"/>
              <w:bottom w:val="nil"/>
              <w:right w:val="nil"/>
            </w:tcBorders>
            <w:shd w:val="clear" w:color="000000" w:fill="FFFFFF"/>
            <w:noWrap/>
            <w:vAlign w:val="bottom"/>
            <w:hideMark/>
          </w:tcPr>
          <w:p w:rsidR="00C03459" w:rsidRPr="000E3CC9" w:rsidRDefault="00C03459" w:rsidP="0078483D">
            <w:pPr>
              <w:rPr>
                <w:rFonts w:ascii="Calibri" w:hAnsi="Calibri"/>
                <w:color w:val="000000"/>
                <w:lang w:val="sr-Latn-BA" w:eastAsia="sr-Latn-BA"/>
              </w:rPr>
            </w:pPr>
            <w:r>
              <w:rPr>
                <w:rFonts w:ascii="Calibri" w:hAnsi="Calibri"/>
                <w:color w:val="000000"/>
                <w:lang w:val="sr-Latn-BA" w:eastAsia="sr-Latn-BA"/>
              </w:rPr>
              <w:t xml:space="preserve">Unicredit bank ad, Banja Luka </w:t>
            </w:r>
          </w:p>
        </w:tc>
        <w:tc>
          <w:tcPr>
            <w:tcW w:w="2360" w:type="dxa"/>
            <w:tcBorders>
              <w:top w:val="nil"/>
              <w:left w:val="nil"/>
              <w:bottom w:val="nil"/>
              <w:right w:val="nil"/>
            </w:tcBorders>
            <w:shd w:val="clear" w:color="000000" w:fill="FFFFFF"/>
            <w:noWrap/>
            <w:vAlign w:val="bottom"/>
            <w:hideMark/>
          </w:tcPr>
          <w:p w:rsidR="00C03459" w:rsidRPr="00E530E7" w:rsidRDefault="004D72DC" w:rsidP="0078483D">
            <w:pPr>
              <w:jc w:val="right"/>
              <w:rPr>
                <w:rFonts w:ascii="Calibri" w:hAnsi="Calibri"/>
                <w:color w:val="000000"/>
                <w:lang w:val="sr-Latn-BA" w:eastAsia="sr-Latn-BA"/>
              </w:rPr>
            </w:pPr>
            <w:r>
              <w:rPr>
                <w:rFonts w:ascii="Calibri" w:hAnsi="Calibri"/>
                <w:color w:val="000000"/>
                <w:lang w:val="sr-Latn-BA" w:eastAsia="sr-Latn-BA"/>
              </w:rPr>
              <w:t>0</w:t>
            </w:r>
            <w:r w:rsidR="00C03459" w:rsidRPr="00E530E7">
              <w:rPr>
                <w:rFonts w:ascii="Calibri" w:hAnsi="Calibri"/>
                <w:color w:val="000000"/>
                <w:lang w:val="sr-Latn-BA" w:eastAsia="sr-Latn-BA"/>
              </w:rPr>
              <w:t xml:space="preserve">    </w:t>
            </w:r>
          </w:p>
        </w:tc>
        <w:tc>
          <w:tcPr>
            <w:tcW w:w="2040" w:type="dxa"/>
            <w:tcBorders>
              <w:top w:val="nil"/>
              <w:left w:val="nil"/>
              <w:bottom w:val="nil"/>
              <w:right w:val="nil"/>
            </w:tcBorders>
            <w:shd w:val="clear" w:color="000000" w:fill="FFFFFF"/>
            <w:noWrap/>
            <w:vAlign w:val="bottom"/>
            <w:hideMark/>
          </w:tcPr>
          <w:p w:rsidR="00C03459" w:rsidRPr="000E3CC9" w:rsidRDefault="002D6A6A" w:rsidP="0078483D">
            <w:pPr>
              <w:jc w:val="right"/>
              <w:rPr>
                <w:rFonts w:ascii="Calibri" w:hAnsi="Calibri"/>
                <w:color w:val="000000"/>
                <w:lang w:val="sr-Latn-BA" w:eastAsia="sr-Latn-BA"/>
              </w:rPr>
            </w:pPr>
            <w:r>
              <w:rPr>
                <w:rFonts w:ascii="Calibri" w:hAnsi="Calibri"/>
                <w:color w:val="000000"/>
                <w:lang w:val="sr-Latn-BA" w:eastAsia="sr-Latn-BA"/>
              </w:rPr>
              <w:t>770.000</w:t>
            </w:r>
            <w:r w:rsidRPr="00E530E7">
              <w:rPr>
                <w:rFonts w:ascii="Calibri" w:hAnsi="Calibri"/>
                <w:color w:val="000000"/>
                <w:lang w:val="sr-Latn-BA" w:eastAsia="sr-Latn-BA"/>
              </w:rPr>
              <w:t xml:space="preserve">    </w:t>
            </w:r>
            <w:r w:rsidR="00C03459" w:rsidRPr="000E3CC9">
              <w:rPr>
                <w:rFonts w:ascii="Calibri" w:hAnsi="Calibri"/>
                <w:color w:val="000000"/>
                <w:lang w:val="sr-Latn-BA" w:eastAsia="sr-Latn-BA"/>
              </w:rPr>
              <w:t xml:space="preserve">    </w:t>
            </w:r>
          </w:p>
        </w:tc>
      </w:tr>
      <w:tr w:rsidR="00C03459" w:rsidRPr="000E3CC9" w:rsidTr="0078483D">
        <w:trPr>
          <w:trHeight w:val="310"/>
        </w:trPr>
        <w:tc>
          <w:tcPr>
            <w:tcW w:w="4600" w:type="dxa"/>
            <w:tcBorders>
              <w:top w:val="nil"/>
              <w:left w:val="nil"/>
              <w:bottom w:val="nil"/>
              <w:right w:val="nil"/>
            </w:tcBorders>
            <w:shd w:val="clear" w:color="000000" w:fill="FFFFFF"/>
            <w:noWrap/>
            <w:vAlign w:val="bottom"/>
            <w:hideMark/>
          </w:tcPr>
          <w:p w:rsidR="00C03459" w:rsidRPr="000E3CC9" w:rsidRDefault="00C03459" w:rsidP="0078483D">
            <w:pPr>
              <w:rPr>
                <w:rFonts w:ascii="Calibri" w:hAnsi="Calibri"/>
                <w:color w:val="000000"/>
                <w:lang w:val="sr-Latn-BA" w:eastAsia="sr-Latn-BA"/>
              </w:rPr>
            </w:pPr>
            <w:r>
              <w:rPr>
                <w:rFonts w:ascii="Calibri" w:hAnsi="Calibri"/>
                <w:color w:val="000000"/>
                <w:lang w:val="sr-Latn-BA" w:eastAsia="sr-Latn-BA"/>
              </w:rPr>
              <w:t xml:space="preserve">Sparkasse bank dd BiH, Sarajevo  </w:t>
            </w:r>
          </w:p>
        </w:tc>
        <w:tc>
          <w:tcPr>
            <w:tcW w:w="2360" w:type="dxa"/>
            <w:tcBorders>
              <w:top w:val="nil"/>
              <w:left w:val="nil"/>
              <w:bottom w:val="nil"/>
              <w:right w:val="nil"/>
            </w:tcBorders>
            <w:shd w:val="clear" w:color="000000" w:fill="FFFFFF"/>
            <w:noWrap/>
            <w:vAlign w:val="bottom"/>
            <w:hideMark/>
          </w:tcPr>
          <w:p w:rsidR="00C03459" w:rsidRPr="00E530E7" w:rsidRDefault="004D72DC" w:rsidP="0078483D">
            <w:pPr>
              <w:jc w:val="right"/>
              <w:rPr>
                <w:rFonts w:ascii="Calibri" w:hAnsi="Calibri"/>
                <w:color w:val="000000"/>
                <w:lang w:val="sr-Latn-BA" w:eastAsia="sr-Latn-BA"/>
              </w:rPr>
            </w:pPr>
            <w:r>
              <w:rPr>
                <w:rFonts w:ascii="Calibri" w:hAnsi="Calibri"/>
                <w:color w:val="000000"/>
                <w:lang w:val="sr-Latn-BA" w:eastAsia="sr-Latn-BA"/>
              </w:rPr>
              <w:t>0</w:t>
            </w:r>
            <w:r w:rsidR="00C03459" w:rsidRPr="00E530E7">
              <w:rPr>
                <w:rFonts w:ascii="Calibri" w:hAnsi="Calibri"/>
                <w:color w:val="000000"/>
                <w:lang w:val="sr-Latn-BA" w:eastAsia="sr-Latn-BA"/>
              </w:rPr>
              <w:t xml:space="preserve">    </w:t>
            </w:r>
          </w:p>
        </w:tc>
        <w:tc>
          <w:tcPr>
            <w:tcW w:w="2040" w:type="dxa"/>
            <w:tcBorders>
              <w:top w:val="nil"/>
              <w:left w:val="nil"/>
              <w:bottom w:val="nil"/>
              <w:right w:val="nil"/>
            </w:tcBorders>
            <w:shd w:val="clear" w:color="000000" w:fill="FFFFFF"/>
            <w:noWrap/>
            <w:vAlign w:val="bottom"/>
            <w:hideMark/>
          </w:tcPr>
          <w:p w:rsidR="00C03459" w:rsidRPr="000E3CC9" w:rsidRDefault="00B00F21" w:rsidP="0078483D">
            <w:pPr>
              <w:jc w:val="right"/>
              <w:rPr>
                <w:rFonts w:ascii="Calibri" w:hAnsi="Calibri"/>
                <w:color w:val="000000"/>
                <w:lang w:val="sr-Latn-BA" w:eastAsia="sr-Latn-BA"/>
              </w:rPr>
            </w:pPr>
            <w:r>
              <w:rPr>
                <w:rFonts w:ascii="Calibri" w:hAnsi="Calibri"/>
                <w:color w:val="000000"/>
                <w:lang w:val="sr-Latn-BA" w:eastAsia="sr-Latn-BA"/>
              </w:rPr>
              <w:t>770</w:t>
            </w:r>
            <w:r w:rsidR="002D6A6A" w:rsidRPr="00E530E7">
              <w:rPr>
                <w:rFonts w:ascii="Calibri" w:hAnsi="Calibri"/>
                <w:color w:val="000000"/>
                <w:lang w:val="sr-Latn-BA" w:eastAsia="sr-Latn-BA"/>
              </w:rPr>
              <w:t>.00</w:t>
            </w:r>
            <w:r w:rsidR="002D6A6A">
              <w:rPr>
                <w:rFonts w:ascii="Calibri" w:hAnsi="Calibri"/>
                <w:color w:val="000000"/>
                <w:lang w:val="sr-Latn-BA" w:eastAsia="sr-Latn-BA"/>
              </w:rPr>
              <w:t>0</w:t>
            </w:r>
            <w:r w:rsidR="002D6A6A" w:rsidRPr="00E530E7">
              <w:rPr>
                <w:rFonts w:ascii="Calibri" w:hAnsi="Calibri"/>
                <w:color w:val="000000"/>
                <w:lang w:val="sr-Latn-BA" w:eastAsia="sr-Latn-BA"/>
              </w:rPr>
              <w:t xml:space="preserve">    </w:t>
            </w:r>
            <w:r w:rsidR="00C03459" w:rsidRPr="000E3CC9">
              <w:rPr>
                <w:rFonts w:ascii="Calibri" w:hAnsi="Calibri"/>
                <w:color w:val="000000"/>
                <w:lang w:val="sr-Latn-BA" w:eastAsia="sr-Latn-BA"/>
              </w:rPr>
              <w:t xml:space="preserve">    </w:t>
            </w:r>
          </w:p>
        </w:tc>
      </w:tr>
      <w:tr w:rsidR="000E3CC9" w:rsidRPr="000E3CC9" w:rsidTr="000E3CC9">
        <w:trPr>
          <w:trHeight w:val="310"/>
        </w:trPr>
        <w:tc>
          <w:tcPr>
            <w:tcW w:w="4600" w:type="dxa"/>
            <w:tcBorders>
              <w:top w:val="nil"/>
              <w:left w:val="nil"/>
              <w:bottom w:val="nil"/>
              <w:right w:val="nil"/>
            </w:tcBorders>
            <w:shd w:val="clear" w:color="000000" w:fill="FFFFFF"/>
            <w:noWrap/>
            <w:vAlign w:val="bottom"/>
            <w:hideMark/>
          </w:tcPr>
          <w:p w:rsidR="000E3CC9" w:rsidRPr="000E3CC9" w:rsidRDefault="001537DC" w:rsidP="001537DC">
            <w:pPr>
              <w:rPr>
                <w:rFonts w:ascii="Calibri" w:hAnsi="Calibri"/>
                <w:color w:val="000000"/>
                <w:lang w:val="sr-Latn-BA" w:eastAsia="sr-Latn-BA"/>
              </w:rPr>
            </w:pPr>
            <w:r>
              <w:rPr>
                <w:rFonts w:ascii="Calibri" w:hAnsi="Calibri"/>
                <w:color w:val="000000"/>
                <w:lang w:val="sr-Latn-BA" w:eastAsia="sr-Latn-BA"/>
              </w:rPr>
              <w:t xml:space="preserve">Komercijalna banka ad, Banja Luka  </w:t>
            </w:r>
            <w:r w:rsidR="000E3CC9" w:rsidRPr="000E3CC9">
              <w:rPr>
                <w:rFonts w:ascii="Calibri" w:hAnsi="Calibri"/>
                <w:color w:val="000000"/>
                <w:lang w:val="sr-Latn-BA" w:eastAsia="sr-Latn-BA"/>
              </w:rPr>
              <w:t> </w:t>
            </w:r>
          </w:p>
        </w:tc>
        <w:tc>
          <w:tcPr>
            <w:tcW w:w="2360" w:type="dxa"/>
            <w:tcBorders>
              <w:top w:val="nil"/>
              <w:left w:val="nil"/>
              <w:bottom w:val="nil"/>
              <w:right w:val="nil"/>
            </w:tcBorders>
            <w:shd w:val="clear" w:color="000000" w:fill="FFFFFF"/>
            <w:noWrap/>
            <w:vAlign w:val="bottom"/>
            <w:hideMark/>
          </w:tcPr>
          <w:p w:rsidR="000E3CC9" w:rsidRPr="000E3CC9" w:rsidRDefault="001537DC" w:rsidP="004D72DC">
            <w:pPr>
              <w:jc w:val="right"/>
              <w:rPr>
                <w:rFonts w:ascii="Calibri" w:hAnsi="Calibri"/>
                <w:b/>
                <w:bCs/>
                <w:color w:val="000000"/>
                <w:lang w:val="sr-Latn-BA" w:eastAsia="sr-Latn-BA"/>
              </w:rPr>
            </w:pPr>
            <w:r>
              <w:rPr>
                <w:rFonts w:ascii="Calibri" w:hAnsi="Calibri"/>
                <w:b/>
                <w:bCs/>
                <w:color w:val="000000"/>
                <w:lang w:val="sr-Latn-BA" w:eastAsia="sr-Latn-BA"/>
              </w:rPr>
              <w:t xml:space="preserve">                       </w:t>
            </w:r>
            <w:r w:rsidR="000E3CC9" w:rsidRPr="000E3CC9">
              <w:rPr>
                <w:rFonts w:ascii="Calibri" w:hAnsi="Calibri"/>
                <w:b/>
                <w:bCs/>
                <w:color w:val="000000"/>
                <w:lang w:val="sr-Latn-BA" w:eastAsia="sr-Latn-BA"/>
              </w:rPr>
              <w:t> </w:t>
            </w:r>
            <w:r w:rsidR="004D72DC">
              <w:rPr>
                <w:rFonts w:ascii="Calibri" w:hAnsi="Calibri"/>
                <w:color w:val="000000"/>
                <w:lang w:val="sr-Latn-BA" w:eastAsia="sr-Latn-BA"/>
              </w:rPr>
              <w:t>0</w:t>
            </w:r>
            <w:r w:rsidRPr="00E530E7">
              <w:rPr>
                <w:rFonts w:ascii="Calibri" w:hAnsi="Calibri"/>
                <w:color w:val="000000"/>
                <w:lang w:val="sr-Latn-BA" w:eastAsia="sr-Latn-BA"/>
              </w:rPr>
              <w:t xml:space="preserve">    </w:t>
            </w:r>
          </w:p>
        </w:tc>
        <w:tc>
          <w:tcPr>
            <w:tcW w:w="2040" w:type="dxa"/>
            <w:tcBorders>
              <w:top w:val="nil"/>
              <w:left w:val="nil"/>
              <w:bottom w:val="nil"/>
              <w:right w:val="nil"/>
            </w:tcBorders>
            <w:shd w:val="clear" w:color="000000" w:fill="FFFFFF"/>
            <w:noWrap/>
            <w:vAlign w:val="bottom"/>
            <w:hideMark/>
          </w:tcPr>
          <w:p w:rsidR="000E3CC9" w:rsidRPr="003E222A" w:rsidRDefault="000E3CC9" w:rsidP="001537DC">
            <w:pPr>
              <w:jc w:val="right"/>
              <w:rPr>
                <w:rFonts w:ascii="Calibri" w:hAnsi="Calibri"/>
                <w:bCs/>
                <w:color w:val="000000"/>
                <w:lang w:val="sr-Latn-BA" w:eastAsia="sr-Latn-BA"/>
              </w:rPr>
            </w:pPr>
            <w:r w:rsidRPr="000E3CC9">
              <w:rPr>
                <w:rFonts w:ascii="Calibri" w:hAnsi="Calibri"/>
                <w:b/>
                <w:bCs/>
                <w:color w:val="000000"/>
                <w:lang w:val="sr-Latn-BA" w:eastAsia="sr-Latn-BA"/>
              </w:rPr>
              <w:t> </w:t>
            </w:r>
            <w:r w:rsidR="00B00F21">
              <w:rPr>
                <w:rFonts w:ascii="Calibri" w:hAnsi="Calibri"/>
                <w:bCs/>
                <w:color w:val="000000"/>
                <w:lang w:val="sr-Latn-BA" w:eastAsia="sr-Latn-BA"/>
              </w:rPr>
              <w:t>770</w:t>
            </w:r>
            <w:r w:rsidR="003E222A" w:rsidRPr="003E222A">
              <w:rPr>
                <w:rFonts w:ascii="Calibri" w:hAnsi="Calibri"/>
                <w:bCs/>
                <w:color w:val="000000"/>
                <w:lang w:val="sr-Latn-BA" w:eastAsia="sr-Latn-BA"/>
              </w:rPr>
              <w:t>.000</w:t>
            </w:r>
          </w:p>
        </w:tc>
      </w:tr>
      <w:tr w:rsidR="000E3CC9" w:rsidRPr="000E3CC9" w:rsidTr="000E3CC9">
        <w:trPr>
          <w:trHeight w:val="310"/>
        </w:trPr>
        <w:tc>
          <w:tcPr>
            <w:tcW w:w="4600" w:type="dxa"/>
            <w:tcBorders>
              <w:top w:val="nil"/>
              <w:left w:val="nil"/>
              <w:bottom w:val="nil"/>
              <w:right w:val="nil"/>
            </w:tcBorders>
            <w:shd w:val="clear" w:color="000000" w:fill="FFFFFF"/>
            <w:noWrap/>
            <w:vAlign w:val="bottom"/>
            <w:hideMark/>
          </w:tcPr>
          <w:p w:rsidR="000E3CC9" w:rsidRPr="000E3CC9" w:rsidRDefault="000E3CC9" w:rsidP="000E3CC9">
            <w:pPr>
              <w:rPr>
                <w:rFonts w:ascii="Calibri" w:hAnsi="Calibri"/>
                <w:color w:val="000000"/>
                <w:lang w:val="sr-Latn-BA" w:eastAsia="sr-Latn-BA"/>
              </w:rPr>
            </w:pPr>
            <w:r w:rsidRPr="000E3CC9">
              <w:rPr>
                <w:rFonts w:ascii="Calibri" w:hAnsi="Calibri"/>
                <w:color w:val="000000"/>
                <w:lang w:val="sr-Latn-BA" w:eastAsia="sr-Latn-BA"/>
              </w:rPr>
              <w:t> </w:t>
            </w:r>
          </w:p>
        </w:tc>
        <w:tc>
          <w:tcPr>
            <w:tcW w:w="2360" w:type="dxa"/>
            <w:tcBorders>
              <w:top w:val="nil"/>
              <w:left w:val="nil"/>
              <w:bottom w:val="nil"/>
              <w:right w:val="nil"/>
            </w:tcBorders>
            <w:shd w:val="clear" w:color="000000" w:fill="FFFFFF"/>
            <w:noWrap/>
            <w:vAlign w:val="bottom"/>
            <w:hideMark/>
          </w:tcPr>
          <w:p w:rsidR="000E3CC9" w:rsidRPr="000E3CC9" w:rsidRDefault="000E3CC9" w:rsidP="000E3CC9">
            <w:pPr>
              <w:jc w:val="center"/>
              <w:rPr>
                <w:rFonts w:ascii="Calibri" w:hAnsi="Calibri"/>
                <w:b/>
                <w:bCs/>
                <w:color w:val="000000"/>
                <w:lang w:val="sr-Latn-BA" w:eastAsia="sr-Latn-BA"/>
              </w:rPr>
            </w:pPr>
            <w:r w:rsidRPr="000E3CC9">
              <w:rPr>
                <w:rFonts w:ascii="Calibri" w:hAnsi="Calibri"/>
                <w:b/>
                <w:bCs/>
                <w:color w:val="000000"/>
                <w:lang w:val="sr-Latn-BA" w:eastAsia="sr-Latn-BA"/>
              </w:rPr>
              <w:t> </w:t>
            </w:r>
          </w:p>
        </w:tc>
        <w:tc>
          <w:tcPr>
            <w:tcW w:w="2040" w:type="dxa"/>
            <w:tcBorders>
              <w:top w:val="nil"/>
              <w:left w:val="nil"/>
              <w:bottom w:val="nil"/>
              <w:right w:val="nil"/>
            </w:tcBorders>
            <w:shd w:val="clear" w:color="000000" w:fill="FFFFFF"/>
            <w:noWrap/>
            <w:vAlign w:val="bottom"/>
            <w:hideMark/>
          </w:tcPr>
          <w:p w:rsidR="000E3CC9" w:rsidRPr="000E3CC9" w:rsidRDefault="000E3CC9" w:rsidP="000E3CC9">
            <w:pPr>
              <w:rPr>
                <w:rFonts w:ascii="Calibri" w:hAnsi="Calibri"/>
                <w:color w:val="000000"/>
                <w:lang w:val="sr-Latn-BA" w:eastAsia="sr-Latn-BA"/>
              </w:rPr>
            </w:pPr>
            <w:r w:rsidRPr="000E3CC9">
              <w:rPr>
                <w:rFonts w:ascii="Calibri" w:hAnsi="Calibri"/>
                <w:color w:val="000000"/>
                <w:lang w:val="sr-Latn-BA" w:eastAsia="sr-Latn-BA"/>
              </w:rPr>
              <w:t> </w:t>
            </w:r>
          </w:p>
        </w:tc>
      </w:tr>
      <w:tr w:rsidR="00D14AE6" w:rsidRPr="000E3CC9" w:rsidTr="000E3CC9">
        <w:trPr>
          <w:trHeight w:val="370"/>
        </w:trPr>
        <w:tc>
          <w:tcPr>
            <w:tcW w:w="4600" w:type="dxa"/>
            <w:tcBorders>
              <w:top w:val="nil"/>
              <w:left w:val="nil"/>
              <w:bottom w:val="nil"/>
              <w:right w:val="nil"/>
            </w:tcBorders>
            <w:shd w:val="clear" w:color="000000" w:fill="FFFFFF"/>
            <w:noWrap/>
            <w:vAlign w:val="bottom"/>
            <w:hideMark/>
          </w:tcPr>
          <w:p w:rsidR="00D14AE6" w:rsidRPr="008E402A" w:rsidRDefault="0066405C" w:rsidP="0066405C">
            <w:pPr>
              <w:rPr>
                <w:rFonts w:ascii="Calibri" w:hAnsi="Calibri"/>
                <w:b/>
                <w:bCs/>
                <w:color w:val="000000"/>
                <w:lang w:val="sr-Latn-BA" w:eastAsia="sr-Latn-BA"/>
              </w:rPr>
            </w:pPr>
            <w:r>
              <w:rPr>
                <w:rFonts w:ascii="Calibri" w:hAnsi="Calibri"/>
                <w:b/>
                <w:bCs/>
                <w:color w:val="000000"/>
                <w:lang w:val="sr-Latn-BA" w:eastAsia="sr-Latn-BA"/>
              </w:rPr>
              <w:t>Stanje na dan 3</w:t>
            </w:r>
            <w:r w:rsidR="004D72DC">
              <w:rPr>
                <w:rFonts w:ascii="Calibri" w:hAnsi="Calibri"/>
                <w:b/>
                <w:bCs/>
                <w:color w:val="000000"/>
                <w:lang w:val="sr-Latn-BA" w:eastAsia="sr-Latn-BA"/>
              </w:rPr>
              <w:t>1</w:t>
            </w:r>
            <w:r w:rsidR="00D14AE6" w:rsidRPr="008E402A">
              <w:rPr>
                <w:rFonts w:ascii="Calibri" w:hAnsi="Calibri"/>
                <w:b/>
                <w:bCs/>
                <w:color w:val="000000"/>
                <w:lang w:val="sr-Latn-BA" w:eastAsia="sr-Latn-BA"/>
              </w:rPr>
              <w:t xml:space="preserve">. </w:t>
            </w:r>
            <w:r w:rsidR="002F747B">
              <w:rPr>
                <w:rFonts w:ascii="Calibri" w:hAnsi="Calibri"/>
                <w:b/>
                <w:bCs/>
                <w:color w:val="000000"/>
                <w:lang w:val="sr-Latn-BA" w:eastAsia="sr-Latn-BA"/>
              </w:rPr>
              <w:t xml:space="preserve">Mart </w:t>
            </w:r>
            <w:r w:rsidR="00D14AE6" w:rsidRPr="008E402A">
              <w:rPr>
                <w:rFonts w:ascii="Calibri" w:hAnsi="Calibri"/>
                <w:b/>
                <w:bCs/>
                <w:color w:val="000000"/>
                <w:lang w:val="sr-Latn-BA" w:eastAsia="sr-Latn-BA"/>
              </w:rPr>
              <w:t xml:space="preserve"> 20</w:t>
            </w:r>
            <w:r w:rsidR="001537DC">
              <w:rPr>
                <w:rFonts w:ascii="Calibri" w:hAnsi="Calibri"/>
                <w:b/>
                <w:bCs/>
                <w:color w:val="000000"/>
                <w:lang w:val="sr-Latn-BA" w:eastAsia="sr-Latn-BA"/>
              </w:rPr>
              <w:t>2</w:t>
            </w:r>
            <w:r w:rsidR="002F747B">
              <w:rPr>
                <w:rFonts w:ascii="Calibri" w:hAnsi="Calibri"/>
                <w:b/>
                <w:bCs/>
                <w:color w:val="000000"/>
                <w:lang w:val="sr-Latn-BA" w:eastAsia="sr-Latn-BA"/>
              </w:rPr>
              <w:t>1</w:t>
            </w:r>
          </w:p>
        </w:tc>
        <w:tc>
          <w:tcPr>
            <w:tcW w:w="2360" w:type="dxa"/>
            <w:tcBorders>
              <w:top w:val="nil"/>
              <w:left w:val="nil"/>
              <w:bottom w:val="nil"/>
              <w:right w:val="nil"/>
            </w:tcBorders>
            <w:shd w:val="clear" w:color="000000" w:fill="FFFFFF"/>
            <w:noWrap/>
            <w:vAlign w:val="bottom"/>
            <w:hideMark/>
          </w:tcPr>
          <w:p w:rsidR="00D14AE6" w:rsidRPr="008E402A" w:rsidRDefault="004D72DC" w:rsidP="004D72DC">
            <w:pPr>
              <w:jc w:val="right"/>
              <w:rPr>
                <w:rFonts w:ascii="Calibri" w:hAnsi="Calibri"/>
                <w:b/>
                <w:bCs/>
                <w:color w:val="000000"/>
                <w:u w:val="single"/>
                <w:lang w:val="sr-Latn-BA" w:eastAsia="sr-Latn-BA"/>
              </w:rPr>
            </w:pPr>
            <w:r>
              <w:rPr>
                <w:rFonts w:ascii="Calibri" w:hAnsi="Calibri"/>
                <w:b/>
                <w:bCs/>
                <w:color w:val="000000"/>
                <w:u w:val="single"/>
                <w:lang w:val="sr-Latn-BA" w:eastAsia="sr-Latn-BA"/>
              </w:rPr>
              <w:t xml:space="preserve">                0</w:t>
            </w:r>
            <w:r w:rsidR="00D14AE6" w:rsidRPr="008E402A">
              <w:rPr>
                <w:rFonts w:ascii="Calibri" w:hAnsi="Calibri"/>
                <w:b/>
                <w:bCs/>
                <w:color w:val="000000"/>
                <w:u w:val="single"/>
                <w:lang w:val="sr-Latn-BA" w:eastAsia="sr-Latn-BA"/>
              </w:rPr>
              <w:t xml:space="preserve">    </w:t>
            </w:r>
          </w:p>
        </w:tc>
        <w:tc>
          <w:tcPr>
            <w:tcW w:w="2040" w:type="dxa"/>
            <w:tcBorders>
              <w:top w:val="nil"/>
              <w:left w:val="nil"/>
              <w:bottom w:val="nil"/>
              <w:right w:val="nil"/>
            </w:tcBorders>
            <w:shd w:val="clear" w:color="000000" w:fill="FFFFFF"/>
            <w:noWrap/>
            <w:vAlign w:val="bottom"/>
            <w:hideMark/>
          </w:tcPr>
          <w:p w:rsidR="00D14AE6" w:rsidRPr="000E3CC9" w:rsidRDefault="00B00F21" w:rsidP="002D6A6A">
            <w:pPr>
              <w:jc w:val="right"/>
              <w:rPr>
                <w:rFonts w:ascii="Calibri" w:hAnsi="Calibri"/>
                <w:b/>
                <w:bCs/>
                <w:color w:val="000000"/>
                <w:u w:val="single"/>
                <w:lang w:val="sr-Latn-BA" w:eastAsia="sr-Latn-BA"/>
              </w:rPr>
            </w:pPr>
            <w:r>
              <w:rPr>
                <w:rFonts w:ascii="Calibri" w:hAnsi="Calibri"/>
                <w:b/>
                <w:bCs/>
                <w:color w:val="000000"/>
                <w:u w:val="single"/>
                <w:lang w:val="sr-Latn-BA" w:eastAsia="sr-Latn-BA"/>
              </w:rPr>
              <w:t>3.080</w:t>
            </w:r>
            <w:r w:rsidR="006C08F6">
              <w:rPr>
                <w:rFonts w:ascii="Calibri" w:hAnsi="Calibri"/>
                <w:b/>
                <w:bCs/>
                <w:color w:val="000000"/>
                <w:u w:val="single"/>
                <w:lang w:val="sr-Latn-BA" w:eastAsia="sr-Latn-BA"/>
              </w:rPr>
              <w:t>.000</w:t>
            </w:r>
            <w:r w:rsidR="002D6A6A" w:rsidRPr="008E402A">
              <w:rPr>
                <w:rFonts w:ascii="Calibri" w:hAnsi="Calibri"/>
                <w:b/>
                <w:bCs/>
                <w:color w:val="000000"/>
                <w:u w:val="single"/>
                <w:lang w:val="sr-Latn-BA" w:eastAsia="sr-Latn-BA"/>
              </w:rPr>
              <w:t xml:space="preserve">    </w:t>
            </w:r>
          </w:p>
        </w:tc>
      </w:tr>
      <w:tr w:rsidR="00D14AE6" w:rsidRPr="000E3CC9" w:rsidTr="000E3CC9">
        <w:trPr>
          <w:trHeight w:val="370"/>
        </w:trPr>
        <w:tc>
          <w:tcPr>
            <w:tcW w:w="4600" w:type="dxa"/>
            <w:tcBorders>
              <w:top w:val="nil"/>
              <w:left w:val="nil"/>
              <w:bottom w:val="nil"/>
              <w:right w:val="nil"/>
            </w:tcBorders>
            <w:shd w:val="clear" w:color="000000" w:fill="FFFFFF"/>
            <w:noWrap/>
            <w:vAlign w:val="bottom"/>
          </w:tcPr>
          <w:p w:rsidR="00D14AE6" w:rsidRPr="000E3CC9" w:rsidRDefault="00D14AE6" w:rsidP="000E3CC9">
            <w:pPr>
              <w:rPr>
                <w:rFonts w:ascii="Calibri" w:hAnsi="Calibri"/>
                <w:b/>
                <w:bCs/>
                <w:color w:val="000000"/>
                <w:lang w:val="sr-Latn-BA" w:eastAsia="sr-Latn-BA"/>
              </w:rPr>
            </w:pPr>
          </w:p>
        </w:tc>
        <w:tc>
          <w:tcPr>
            <w:tcW w:w="2360" w:type="dxa"/>
            <w:tcBorders>
              <w:top w:val="nil"/>
              <w:left w:val="nil"/>
              <w:bottom w:val="nil"/>
              <w:right w:val="nil"/>
            </w:tcBorders>
            <w:shd w:val="clear" w:color="000000" w:fill="FFFFFF"/>
            <w:noWrap/>
            <w:vAlign w:val="bottom"/>
          </w:tcPr>
          <w:p w:rsidR="00D14AE6" w:rsidRPr="000E3CC9" w:rsidRDefault="00D14AE6" w:rsidP="000E3CC9">
            <w:pPr>
              <w:rPr>
                <w:rFonts w:ascii="Calibri" w:hAnsi="Calibri"/>
                <w:b/>
                <w:bCs/>
                <w:color w:val="000000"/>
                <w:u w:val="single"/>
                <w:lang w:val="sr-Latn-BA" w:eastAsia="sr-Latn-BA"/>
              </w:rPr>
            </w:pPr>
          </w:p>
        </w:tc>
        <w:tc>
          <w:tcPr>
            <w:tcW w:w="2040" w:type="dxa"/>
            <w:tcBorders>
              <w:top w:val="nil"/>
              <w:left w:val="nil"/>
              <w:bottom w:val="nil"/>
              <w:right w:val="nil"/>
            </w:tcBorders>
            <w:shd w:val="clear" w:color="000000" w:fill="FFFFFF"/>
            <w:noWrap/>
            <w:vAlign w:val="bottom"/>
          </w:tcPr>
          <w:p w:rsidR="00D14AE6" w:rsidRPr="000E3CC9" w:rsidRDefault="00D14AE6" w:rsidP="000E3CC9">
            <w:pPr>
              <w:rPr>
                <w:rFonts w:ascii="Calibri" w:hAnsi="Calibri"/>
                <w:b/>
                <w:bCs/>
                <w:color w:val="000000"/>
                <w:u w:val="single"/>
                <w:lang w:val="sr-Latn-BA" w:eastAsia="sr-Latn-BA"/>
              </w:rPr>
            </w:pPr>
          </w:p>
        </w:tc>
      </w:tr>
    </w:tbl>
    <w:p w:rsidR="00FE5618" w:rsidRPr="00A47E7E" w:rsidRDefault="00FE5618" w:rsidP="002A3CF5">
      <w:pPr>
        <w:tabs>
          <w:tab w:val="left" w:pos="-1440"/>
          <w:tab w:val="left" w:pos="-720"/>
          <w:tab w:val="left" w:pos="0"/>
          <w:tab w:val="left" w:pos="709"/>
          <w:tab w:val="left" w:pos="889"/>
          <w:tab w:val="left" w:pos="1094"/>
          <w:tab w:val="left" w:pos="4514"/>
          <w:tab w:val="right" w:pos="5472"/>
          <w:tab w:val="left" w:pos="5677"/>
          <w:tab w:val="right" w:pos="6635"/>
          <w:tab w:val="left" w:pos="6840"/>
          <w:tab w:val="right" w:pos="7729"/>
          <w:tab w:val="left" w:pos="7934"/>
          <w:tab w:val="right" w:pos="8960"/>
        </w:tabs>
        <w:suppressAutoHyphens/>
        <w:jc w:val="both"/>
        <w:rPr>
          <w:rFonts w:ascii="Calibri" w:hAnsi="Calibri" w:cs="Calibri"/>
          <w:noProof/>
          <w:lang w:val="sr-Latn-CS"/>
        </w:rPr>
      </w:pPr>
    </w:p>
    <w:p w:rsidR="00A30E21" w:rsidRPr="00A47E7E" w:rsidRDefault="00A30E21" w:rsidP="002A3CF5">
      <w:pPr>
        <w:tabs>
          <w:tab w:val="left" w:pos="-1440"/>
          <w:tab w:val="left" w:pos="-720"/>
          <w:tab w:val="left" w:pos="0"/>
          <w:tab w:val="left" w:pos="709"/>
          <w:tab w:val="left" w:pos="889"/>
          <w:tab w:val="left" w:pos="1094"/>
          <w:tab w:val="left" w:pos="4514"/>
          <w:tab w:val="right" w:pos="5472"/>
          <w:tab w:val="left" w:pos="5677"/>
          <w:tab w:val="right" w:pos="6635"/>
          <w:tab w:val="left" w:pos="6840"/>
          <w:tab w:val="right" w:pos="7729"/>
          <w:tab w:val="left" w:pos="7934"/>
          <w:tab w:val="right" w:pos="8960"/>
        </w:tabs>
        <w:suppressAutoHyphens/>
        <w:jc w:val="both"/>
        <w:rPr>
          <w:rFonts w:ascii="Calibri" w:hAnsi="Calibri" w:cs="Calibri"/>
          <w:noProof/>
          <w:lang w:val="sr-Latn-CS"/>
        </w:rPr>
      </w:pPr>
      <w:r w:rsidRPr="00A47E7E">
        <w:rPr>
          <w:rFonts w:ascii="Calibri" w:hAnsi="Calibri" w:cs="Calibri"/>
          <w:noProof/>
          <w:lang w:val="sr-Latn-CS"/>
        </w:rPr>
        <w:t>Oročeni depoziti Fonda kod poslovnih banaka u Bosni i Hercegovini</w:t>
      </w:r>
      <w:r w:rsidR="003C1759" w:rsidRPr="00A47E7E">
        <w:rPr>
          <w:rFonts w:ascii="Calibri" w:hAnsi="Calibri" w:cs="Calibri"/>
          <w:noProof/>
          <w:lang w:val="sr-Latn-CS"/>
        </w:rPr>
        <w:t xml:space="preserve"> mogu se u svakom trenutku razročiti.</w:t>
      </w:r>
    </w:p>
    <w:p w:rsidR="003C1759" w:rsidRPr="00A47E7E" w:rsidRDefault="003C1759" w:rsidP="002A3CF5">
      <w:pPr>
        <w:tabs>
          <w:tab w:val="left" w:pos="-1440"/>
          <w:tab w:val="left" w:pos="-720"/>
          <w:tab w:val="left" w:pos="0"/>
          <w:tab w:val="left" w:pos="709"/>
          <w:tab w:val="left" w:pos="889"/>
          <w:tab w:val="left" w:pos="1094"/>
          <w:tab w:val="left" w:pos="4514"/>
          <w:tab w:val="right" w:pos="5472"/>
          <w:tab w:val="left" w:pos="5677"/>
          <w:tab w:val="right" w:pos="6635"/>
          <w:tab w:val="left" w:pos="6840"/>
          <w:tab w:val="right" w:pos="7729"/>
          <w:tab w:val="left" w:pos="7934"/>
          <w:tab w:val="right" w:pos="8960"/>
        </w:tabs>
        <w:suppressAutoHyphens/>
        <w:jc w:val="both"/>
        <w:rPr>
          <w:rFonts w:ascii="Calibri" w:hAnsi="Calibri" w:cs="Calibri"/>
          <w:noProof/>
          <w:lang w:val="sr-Latn-CS"/>
        </w:rPr>
      </w:pPr>
    </w:p>
    <w:p w:rsidR="00A30E21" w:rsidRDefault="00A30E21" w:rsidP="002A3CF5">
      <w:pPr>
        <w:tabs>
          <w:tab w:val="left" w:pos="-1440"/>
          <w:tab w:val="left" w:pos="-720"/>
          <w:tab w:val="left" w:pos="0"/>
          <w:tab w:val="left" w:pos="709"/>
          <w:tab w:val="left" w:pos="889"/>
          <w:tab w:val="left" w:pos="1094"/>
          <w:tab w:val="left" w:pos="4514"/>
          <w:tab w:val="right" w:pos="5472"/>
          <w:tab w:val="left" w:pos="5677"/>
          <w:tab w:val="right" w:pos="6635"/>
          <w:tab w:val="left" w:pos="6840"/>
          <w:tab w:val="right" w:pos="7729"/>
          <w:tab w:val="left" w:pos="7934"/>
          <w:tab w:val="right" w:pos="8960"/>
        </w:tabs>
        <w:suppressAutoHyphens/>
        <w:jc w:val="both"/>
        <w:rPr>
          <w:rFonts w:ascii="Calibri" w:hAnsi="Calibri" w:cs="Calibri"/>
          <w:noProof/>
          <w:lang w:val="sr-Latn-CS"/>
        </w:rPr>
      </w:pPr>
    </w:p>
    <w:p w:rsidR="0026423F" w:rsidRDefault="0026423F" w:rsidP="002A3CF5">
      <w:pPr>
        <w:tabs>
          <w:tab w:val="left" w:pos="-1440"/>
          <w:tab w:val="left" w:pos="-720"/>
          <w:tab w:val="left" w:pos="0"/>
          <w:tab w:val="left" w:pos="709"/>
          <w:tab w:val="left" w:pos="889"/>
          <w:tab w:val="left" w:pos="1094"/>
          <w:tab w:val="left" w:pos="4514"/>
          <w:tab w:val="right" w:pos="5472"/>
          <w:tab w:val="left" w:pos="5677"/>
          <w:tab w:val="right" w:pos="6635"/>
          <w:tab w:val="left" w:pos="6840"/>
          <w:tab w:val="right" w:pos="7729"/>
          <w:tab w:val="left" w:pos="7934"/>
          <w:tab w:val="right" w:pos="8960"/>
        </w:tabs>
        <w:suppressAutoHyphens/>
        <w:jc w:val="both"/>
        <w:rPr>
          <w:rFonts w:ascii="Calibri" w:hAnsi="Calibri" w:cs="Calibri"/>
          <w:noProof/>
          <w:lang w:val="sr-Latn-CS"/>
        </w:rPr>
      </w:pPr>
    </w:p>
    <w:p w:rsidR="0026423F" w:rsidRPr="00A47E7E" w:rsidRDefault="0026423F" w:rsidP="002A3CF5">
      <w:pPr>
        <w:tabs>
          <w:tab w:val="left" w:pos="-1440"/>
          <w:tab w:val="left" w:pos="-720"/>
          <w:tab w:val="left" w:pos="0"/>
          <w:tab w:val="left" w:pos="709"/>
          <w:tab w:val="left" w:pos="889"/>
          <w:tab w:val="left" w:pos="1094"/>
          <w:tab w:val="left" w:pos="4514"/>
          <w:tab w:val="right" w:pos="5472"/>
          <w:tab w:val="left" w:pos="5677"/>
          <w:tab w:val="right" w:pos="6635"/>
          <w:tab w:val="left" w:pos="6840"/>
          <w:tab w:val="right" w:pos="7729"/>
          <w:tab w:val="left" w:pos="7934"/>
          <w:tab w:val="right" w:pos="8960"/>
        </w:tabs>
        <w:suppressAutoHyphens/>
        <w:jc w:val="both"/>
        <w:rPr>
          <w:rFonts w:ascii="Calibri" w:hAnsi="Calibri" w:cs="Calibri"/>
          <w:noProof/>
          <w:lang w:val="sr-Latn-CS"/>
        </w:rPr>
      </w:pPr>
    </w:p>
    <w:p w:rsidR="00FE5618" w:rsidRPr="00A47E7E" w:rsidRDefault="00CE6D8A" w:rsidP="00B64A52">
      <w:pPr>
        <w:pStyle w:val="Heading1"/>
        <w:rPr>
          <w:rFonts w:ascii="Calibri" w:hAnsi="Calibri" w:cs="Calibri"/>
          <w:noProof/>
          <w:sz w:val="24"/>
          <w:szCs w:val="24"/>
        </w:rPr>
      </w:pPr>
      <w:bookmarkStart w:id="26" w:name="_Toc64534454"/>
      <w:r w:rsidRPr="00A47E7E">
        <w:rPr>
          <w:rFonts w:ascii="Calibri" w:hAnsi="Calibri" w:cs="Calibri"/>
          <w:noProof/>
          <w:sz w:val="24"/>
          <w:szCs w:val="24"/>
        </w:rPr>
        <w:lastRenderedPageBreak/>
        <w:t>POTRAŽIVANJA PO OSNOVU DIVIDENDI</w:t>
      </w:r>
      <w:r w:rsidR="006D7ED6">
        <w:rPr>
          <w:rFonts w:ascii="Calibri" w:hAnsi="Calibri" w:cs="Calibri"/>
          <w:noProof/>
          <w:sz w:val="24"/>
          <w:szCs w:val="24"/>
        </w:rPr>
        <w:t xml:space="preserve"> I KAMATA</w:t>
      </w:r>
      <w:bookmarkEnd w:id="26"/>
    </w:p>
    <w:tbl>
      <w:tblPr>
        <w:tblW w:w="9069" w:type="dxa"/>
        <w:tblInd w:w="99" w:type="dxa"/>
        <w:tblLook w:val="04A0" w:firstRow="1" w:lastRow="0" w:firstColumn="1" w:lastColumn="0" w:noHBand="0" w:noVBand="1"/>
      </w:tblPr>
      <w:tblGrid>
        <w:gridCol w:w="3023"/>
        <w:gridCol w:w="3023"/>
        <w:gridCol w:w="3023"/>
      </w:tblGrid>
      <w:tr w:rsidR="006D7ED6" w:rsidRPr="00F54DDC" w:rsidTr="004D72DC">
        <w:trPr>
          <w:trHeight w:val="370"/>
        </w:trPr>
        <w:tc>
          <w:tcPr>
            <w:tcW w:w="3023" w:type="dxa"/>
            <w:tcBorders>
              <w:top w:val="nil"/>
              <w:left w:val="nil"/>
              <w:bottom w:val="nil"/>
              <w:right w:val="nil"/>
            </w:tcBorders>
            <w:shd w:val="clear" w:color="000000" w:fill="FFFFFF"/>
            <w:noWrap/>
            <w:vAlign w:val="bottom"/>
            <w:hideMark/>
          </w:tcPr>
          <w:p w:rsidR="006D7ED6" w:rsidRPr="006D7ED6" w:rsidRDefault="000E0EAC" w:rsidP="000E0EAC">
            <w:pPr>
              <w:rPr>
                <w:rFonts w:ascii="Calibri" w:hAnsi="Calibri"/>
                <w:b/>
                <w:bCs/>
                <w:color w:val="000000"/>
                <w:lang w:val="sr-Latn-BA" w:eastAsia="sr-Latn-BA"/>
              </w:rPr>
            </w:pPr>
            <w:r>
              <w:rPr>
                <w:rFonts w:ascii="Calibri" w:hAnsi="Calibri"/>
                <w:b/>
                <w:bCs/>
                <w:color w:val="000000"/>
                <w:lang w:val="sr-Latn-BA" w:eastAsia="sr-Latn-BA"/>
              </w:rPr>
              <w:t xml:space="preserve">Kamata </w:t>
            </w:r>
          </w:p>
        </w:tc>
        <w:tc>
          <w:tcPr>
            <w:tcW w:w="3023" w:type="dxa"/>
            <w:tcBorders>
              <w:top w:val="nil"/>
              <w:left w:val="nil"/>
              <w:bottom w:val="nil"/>
              <w:right w:val="nil"/>
            </w:tcBorders>
            <w:shd w:val="clear" w:color="000000" w:fill="FFFFFF"/>
            <w:noWrap/>
            <w:vAlign w:val="bottom"/>
            <w:hideMark/>
          </w:tcPr>
          <w:p w:rsidR="006D7ED6" w:rsidRPr="000E0EAC" w:rsidRDefault="006D7ED6" w:rsidP="00305B61">
            <w:pPr>
              <w:jc w:val="right"/>
              <w:rPr>
                <w:rFonts w:ascii="Calibri" w:hAnsi="Calibri"/>
                <w:b/>
                <w:bCs/>
                <w:color w:val="000000"/>
                <w:lang w:val="sr-Latn-BA" w:eastAsia="sr-Latn-BA"/>
              </w:rPr>
            </w:pPr>
            <w:r w:rsidRPr="000E0EAC">
              <w:rPr>
                <w:rFonts w:ascii="Calibri" w:hAnsi="Calibri"/>
                <w:b/>
                <w:bCs/>
                <w:color w:val="000000"/>
                <w:lang w:val="sr-Latn-BA" w:eastAsia="sr-Latn-BA"/>
              </w:rPr>
              <w:t>20</w:t>
            </w:r>
            <w:r w:rsidR="007F4407">
              <w:rPr>
                <w:rFonts w:ascii="Calibri" w:hAnsi="Calibri"/>
                <w:b/>
                <w:bCs/>
                <w:color w:val="000000"/>
                <w:lang w:val="sr-Latn-BA" w:eastAsia="sr-Latn-BA"/>
              </w:rPr>
              <w:t>2</w:t>
            </w:r>
            <w:r w:rsidR="00C442E1">
              <w:rPr>
                <w:rFonts w:ascii="Calibri" w:hAnsi="Calibri"/>
                <w:b/>
                <w:bCs/>
                <w:color w:val="000000"/>
                <w:lang w:val="sr-Latn-BA" w:eastAsia="sr-Latn-BA"/>
              </w:rPr>
              <w:t>1</w:t>
            </w:r>
          </w:p>
        </w:tc>
        <w:tc>
          <w:tcPr>
            <w:tcW w:w="3023" w:type="dxa"/>
            <w:tcBorders>
              <w:top w:val="nil"/>
              <w:left w:val="nil"/>
              <w:bottom w:val="nil"/>
              <w:right w:val="nil"/>
            </w:tcBorders>
            <w:shd w:val="clear" w:color="000000" w:fill="FFFFFF"/>
            <w:noWrap/>
            <w:vAlign w:val="bottom"/>
            <w:hideMark/>
          </w:tcPr>
          <w:p w:rsidR="001C6A15" w:rsidRPr="000E0EAC" w:rsidRDefault="006D7ED6" w:rsidP="00C442E1">
            <w:pPr>
              <w:jc w:val="right"/>
              <w:rPr>
                <w:rFonts w:ascii="Calibri" w:hAnsi="Calibri"/>
                <w:b/>
                <w:bCs/>
                <w:color w:val="000000"/>
                <w:lang w:val="sr-Latn-BA" w:eastAsia="sr-Latn-BA"/>
              </w:rPr>
            </w:pPr>
            <w:r w:rsidRPr="000E0EAC">
              <w:rPr>
                <w:rFonts w:ascii="Calibri" w:hAnsi="Calibri"/>
                <w:b/>
                <w:bCs/>
                <w:color w:val="000000"/>
                <w:lang w:val="sr-Latn-BA" w:eastAsia="sr-Latn-BA"/>
              </w:rPr>
              <w:t>20</w:t>
            </w:r>
            <w:r w:rsidR="00C442E1">
              <w:rPr>
                <w:rFonts w:ascii="Calibri" w:hAnsi="Calibri"/>
                <w:b/>
                <w:bCs/>
                <w:color w:val="000000"/>
                <w:lang w:val="sr-Latn-BA" w:eastAsia="sr-Latn-BA"/>
              </w:rPr>
              <w:t>20</w:t>
            </w:r>
          </w:p>
        </w:tc>
      </w:tr>
      <w:tr w:rsidR="006D7ED6" w:rsidRPr="001C6A15" w:rsidTr="004D72DC">
        <w:trPr>
          <w:trHeight w:val="370"/>
        </w:trPr>
        <w:tc>
          <w:tcPr>
            <w:tcW w:w="3023" w:type="dxa"/>
            <w:tcBorders>
              <w:top w:val="nil"/>
              <w:left w:val="nil"/>
              <w:bottom w:val="nil"/>
              <w:right w:val="nil"/>
            </w:tcBorders>
            <w:shd w:val="clear" w:color="000000" w:fill="FFFFFF"/>
            <w:noWrap/>
            <w:vAlign w:val="bottom"/>
            <w:hideMark/>
          </w:tcPr>
          <w:p w:rsidR="006D7ED6" w:rsidRPr="001C6A15" w:rsidRDefault="001C6A15" w:rsidP="000E0EAC">
            <w:pPr>
              <w:rPr>
                <w:rFonts w:ascii="Calibri" w:hAnsi="Calibri"/>
                <w:bCs/>
                <w:color w:val="000000"/>
                <w:lang w:val="sr-Latn-BA" w:eastAsia="sr-Latn-BA"/>
              </w:rPr>
            </w:pPr>
            <w:r w:rsidRPr="001C6A15">
              <w:rPr>
                <w:rFonts w:ascii="Calibri" w:hAnsi="Calibri"/>
                <w:bCs/>
                <w:color w:val="000000"/>
                <w:lang w:val="sr-Latn-BA" w:eastAsia="sr-Latn-BA"/>
              </w:rPr>
              <w:t xml:space="preserve">Potraživanja po osnovu kamata – obveznice </w:t>
            </w:r>
          </w:p>
        </w:tc>
        <w:tc>
          <w:tcPr>
            <w:tcW w:w="3023" w:type="dxa"/>
            <w:tcBorders>
              <w:top w:val="nil"/>
              <w:left w:val="nil"/>
              <w:bottom w:val="nil"/>
              <w:right w:val="nil"/>
            </w:tcBorders>
            <w:shd w:val="clear" w:color="000000" w:fill="FFFFFF"/>
            <w:noWrap/>
            <w:vAlign w:val="bottom"/>
            <w:hideMark/>
          </w:tcPr>
          <w:p w:rsidR="006D7ED6" w:rsidRPr="001C6A15" w:rsidRDefault="00C442E1" w:rsidP="00510466">
            <w:pPr>
              <w:jc w:val="right"/>
              <w:rPr>
                <w:rFonts w:ascii="Calibri" w:hAnsi="Calibri"/>
                <w:bCs/>
                <w:color w:val="000000"/>
                <w:u w:val="single"/>
                <w:lang w:val="sr-Latn-BA" w:eastAsia="sr-Latn-BA"/>
              </w:rPr>
            </w:pPr>
            <w:r>
              <w:rPr>
                <w:rFonts w:ascii="Calibri" w:hAnsi="Calibri"/>
                <w:bCs/>
                <w:color w:val="000000"/>
                <w:u w:val="single"/>
                <w:lang w:val="sr-Latn-BA" w:eastAsia="sr-Latn-BA"/>
              </w:rPr>
              <w:t>2.082</w:t>
            </w:r>
          </w:p>
        </w:tc>
        <w:tc>
          <w:tcPr>
            <w:tcW w:w="3023" w:type="dxa"/>
            <w:tcBorders>
              <w:top w:val="nil"/>
              <w:left w:val="nil"/>
              <w:bottom w:val="nil"/>
              <w:right w:val="nil"/>
            </w:tcBorders>
            <w:shd w:val="clear" w:color="000000" w:fill="FFFFFF"/>
            <w:noWrap/>
            <w:vAlign w:val="bottom"/>
            <w:hideMark/>
          </w:tcPr>
          <w:p w:rsidR="006D7ED6" w:rsidRPr="001C6A15" w:rsidRDefault="00C442E1" w:rsidP="00510466">
            <w:pPr>
              <w:jc w:val="right"/>
              <w:rPr>
                <w:rFonts w:ascii="Calibri" w:hAnsi="Calibri"/>
                <w:bCs/>
                <w:color w:val="000000"/>
                <w:u w:val="single"/>
                <w:lang w:val="sr-Latn-BA" w:eastAsia="sr-Latn-BA"/>
              </w:rPr>
            </w:pPr>
            <w:r>
              <w:rPr>
                <w:rFonts w:ascii="Calibri" w:hAnsi="Calibri"/>
                <w:bCs/>
                <w:color w:val="000000"/>
                <w:u w:val="single"/>
                <w:lang w:val="sr-Latn-BA" w:eastAsia="sr-Latn-BA"/>
              </w:rPr>
              <w:t>721</w:t>
            </w:r>
          </w:p>
        </w:tc>
      </w:tr>
      <w:tr w:rsidR="006D7ED6" w:rsidRPr="00F54DDC" w:rsidTr="004D72DC">
        <w:trPr>
          <w:trHeight w:val="370"/>
        </w:trPr>
        <w:tc>
          <w:tcPr>
            <w:tcW w:w="3023" w:type="dxa"/>
            <w:tcBorders>
              <w:top w:val="nil"/>
              <w:left w:val="nil"/>
              <w:bottom w:val="nil"/>
              <w:right w:val="nil"/>
            </w:tcBorders>
            <w:shd w:val="clear" w:color="000000" w:fill="FFFFFF"/>
            <w:noWrap/>
            <w:vAlign w:val="bottom"/>
            <w:hideMark/>
          </w:tcPr>
          <w:p w:rsidR="006D7ED6" w:rsidRPr="00F54DDC" w:rsidRDefault="004D72DC" w:rsidP="00C442E1">
            <w:pPr>
              <w:rPr>
                <w:rFonts w:ascii="Calibri" w:hAnsi="Calibri"/>
                <w:b/>
                <w:bCs/>
                <w:color w:val="000000"/>
                <w:lang w:val="sr-Latn-BA" w:eastAsia="sr-Latn-BA"/>
              </w:rPr>
            </w:pPr>
            <w:r>
              <w:rPr>
                <w:rFonts w:ascii="Calibri" w:hAnsi="Calibri"/>
                <w:b/>
                <w:bCs/>
                <w:color w:val="000000"/>
                <w:lang w:val="sr-Latn-BA" w:eastAsia="sr-Latn-BA"/>
              </w:rPr>
              <w:t>Stanje na dan 31</w:t>
            </w:r>
            <w:r w:rsidR="006D7ED6" w:rsidRPr="00F54DDC">
              <w:rPr>
                <w:rFonts w:ascii="Calibri" w:hAnsi="Calibri"/>
                <w:b/>
                <w:bCs/>
                <w:color w:val="000000"/>
                <w:lang w:val="sr-Latn-BA" w:eastAsia="sr-Latn-BA"/>
              </w:rPr>
              <w:t xml:space="preserve">. </w:t>
            </w:r>
            <w:r w:rsidR="00C442E1">
              <w:rPr>
                <w:rFonts w:ascii="Calibri" w:hAnsi="Calibri"/>
                <w:b/>
                <w:bCs/>
                <w:color w:val="000000"/>
                <w:lang w:val="sr-Latn-BA" w:eastAsia="sr-Latn-BA"/>
              </w:rPr>
              <w:t>Mart 2021</w:t>
            </w:r>
          </w:p>
        </w:tc>
        <w:tc>
          <w:tcPr>
            <w:tcW w:w="3023" w:type="dxa"/>
            <w:tcBorders>
              <w:top w:val="nil"/>
              <w:left w:val="nil"/>
              <w:bottom w:val="nil"/>
              <w:right w:val="nil"/>
            </w:tcBorders>
            <w:shd w:val="clear" w:color="000000" w:fill="FFFFFF"/>
            <w:noWrap/>
            <w:vAlign w:val="bottom"/>
            <w:hideMark/>
          </w:tcPr>
          <w:p w:rsidR="006D7ED6" w:rsidRPr="00F54DDC" w:rsidRDefault="006D7ED6" w:rsidP="00C442E1">
            <w:pPr>
              <w:jc w:val="right"/>
              <w:rPr>
                <w:rFonts w:ascii="Calibri" w:hAnsi="Calibri"/>
                <w:b/>
                <w:bCs/>
                <w:color w:val="000000"/>
                <w:u w:val="single"/>
                <w:lang w:val="sr-Latn-BA" w:eastAsia="sr-Latn-BA"/>
              </w:rPr>
            </w:pPr>
            <w:r w:rsidRPr="00F54DDC">
              <w:rPr>
                <w:rFonts w:ascii="Calibri" w:hAnsi="Calibri"/>
                <w:b/>
                <w:bCs/>
                <w:color w:val="000000"/>
                <w:u w:val="single"/>
                <w:lang w:val="sr-Latn-BA" w:eastAsia="sr-Latn-BA"/>
              </w:rPr>
              <w:t xml:space="preserve"> </w:t>
            </w:r>
            <w:r w:rsidR="00510466">
              <w:rPr>
                <w:rFonts w:ascii="Calibri" w:hAnsi="Calibri"/>
                <w:b/>
                <w:bCs/>
                <w:color w:val="000000"/>
                <w:u w:val="single"/>
                <w:lang w:val="sr-Latn-BA" w:eastAsia="sr-Latn-BA"/>
              </w:rPr>
              <w:t xml:space="preserve">                               </w:t>
            </w:r>
            <w:r w:rsidR="00C442E1">
              <w:rPr>
                <w:rFonts w:ascii="Calibri" w:hAnsi="Calibri"/>
                <w:b/>
                <w:bCs/>
                <w:color w:val="000000"/>
                <w:u w:val="single"/>
                <w:lang w:val="sr-Latn-BA" w:eastAsia="sr-Latn-BA"/>
              </w:rPr>
              <w:t>2.082</w:t>
            </w:r>
            <w:r w:rsidRPr="00F54DDC">
              <w:rPr>
                <w:rFonts w:ascii="Calibri" w:hAnsi="Calibri"/>
                <w:b/>
                <w:bCs/>
                <w:color w:val="000000"/>
                <w:u w:val="single"/>
                <w:lang w:val="sr-Latn-BA" w:eastAsia="sr-Latn-BA"/>
              </w:rPr>
              <w:t xml:space="preserve">      </w:t>
            </w:r>
          </w:p>
        </w:tc>
        <w:tc>
          <w:tcPr>
            <w:tcW w:w="3023" w:type="dxa"/>
            <w:tcBorders>
              <w:top w:val="nil"/>
              <w:left w:val="nil"/>
              <w:bottom w:val="nil"/>
              <w:right w:val="nil"/>
            </w:tcBorders>
            <w:shd w:val="clear" w:color="000000" w:fill="FFFFFF"/>
            <w:noWrap/>
            <w:vAlign w:val="bottom"/>
            <w:hideMark/>
          </w:tcPr>
          <w:p w:rsidR="006D7ED6" w:rsidRPr="00F54DDC" w:rsidRDefault="00C442E1" w:rsidP="006C08F6">
            <w:pPr>
              <w:jc w:val="right"/>
              <w:rPr>
                <w:rFonts w:ascii="Calibri" w:hAnsi="Calibri"/>
                <w:b/>
                <w:bCs/>
                <w:color w:val="000000"/>
                <w:u w:val="single"/>
                <w:lang w:val="sr-Latn-BA" w:eastAsia="sr-Latn-BA"/>
              </w:rPr>
            </w:pPr>
            <w:r>
              <w:rPr>
                <w:rFonts w:ascii="Calibri" w:hAnsi="Calibri"/>
                <w:b/>
                <w:bCs/>
                <w:color w:val="000000"/>
                <w:u w:val="single"/>
                <w:lang w:val="sr-Latn-BA" w:eastAsia="sr-Latn-BA"/>
              </w:rPr>
              <w:t>721</w:t>
            </w:r>
            <w:r w:rsidR="001537DC" w:rsidRPr="00F54DDC">
              <w:rPr>
                <w:rFonts w:ascii="Calibri" w:hAnsi="Calibri"/>
                <w:b/>
                <w:bCs/>
                <w:color w:val="000000"/>
                <w:u w:val="single"/>
                <w:lang w:val="sr-Latn-BA" w:eastAsia="sr-Latn-BA"/>
              </w:rPr>
              <w:t xml:space="preserve">      </w:t>
            </w:r>
            <w:r w:rsidR="006D7ED6" w:rsidRPr="00F54DDC">
              <w:rPr>
                <w:rFonts w:ascii="Calibri" w:hAnsi="Calibri"/>
                <w:b/>
                <w:bCs/>
                <w:color w:val="000000"/>
                <w:u w:val="single"/>
                <w:lang w:val="sr-Latn-BA" w:eastAsia="sr-Latn-BA"/>
              </w:rPr>
              <w:t xml:space="preserve">     </w:t>
            </w:r>
          </w:p>
        </w:tc>
      </w:tr>
    </w:tbl>
    <w:p w:rsidR="00305B61" w:rsidRDefault="00305B61" w:rsidP="002A3CF5">
      <w:pPr>
        <w:tabs>
          <w:tab w:val="left" w:pos="-1440"/>
          <w:tab w:val="left" w:pos="-720"/>
          <w:tab w:val="left" w:pos="0"/>
          <w:tab w:val="left" w:pos="709"/>
          <w:tab w:val="left" w:pos="889"/>
          <w:tab w:val="left" w:pos="1094"/>
          <w:tab w:val="left" w:pos="4514"/>
          <w:tab w:val="right" w:pos="5472"/>
          <w:tab w:val="left" w:pos="5677"/>
          <w:tab w:val="right" w:pos="6635"/>
          <w:tab w:val="left" w:pos="6840"/>
          <w:tab w:val="right" w:pos="7729"/>
          <w:tab w:val="left" w:pos="7934"/>
          <w:tab w:val="right" w:pos="8960"/>
        </w:tabs>
        <w:suppressAutoHyphens/>
        <w:jc w:val="both"/>
        <w:rPr>
          <w:rFonts w:ascii="Calibri" w:hAnsi="Calibri" w:cs="Calibri"/>
          <w:noProof/>
          <w:lang w:val="sr-Latn-CS"/>
        </w:rPr>
      </w:pPr>
    </w:p>
    <w:p w:rsidR="00305B61" w:rsidRPr="00A47E7E" w:rsidRDefault="00305B61" w:rsidP="002A3CF5">
      <w:pPr>
        <w:tabs>
          <w:tab w:val="left" w:pos="-1440"/>
          <w:tab w:val="left" w:pos="-720"/>
          <w:tab w:val="left" w:pos="0"/>
          <w:tab w:val="left" w:pos="709"/>
          <w:tab w:val="left" w:pos="889"/>
          <w:tab w:val="left" w:pos="1094"/>
          <w:tab w:val="left" w:pos="4514"/>
          <w:tab w:val="right" w:pos="5472"/>
          <w:tab w:val="left" w:pos="5677"/>
          <w:tab w:val="right" w:pos="6635"/>
          <w:tab w:val="left" w:pos="6840"/>
          <w:tab w:val="right" w:pos="7729"/>
          <w:tab w:val="left" w:pos="7934"/>
          <w:tab w:val="right" w:pos="8960"/>
        </w:tabs>
        <w:suppressAutoHyphens/>
        <w:jc w:val="both"/>
        <w:rPr>
          <w:rFonts w:ascii="Calibri" w:hAnsi="Calibri" w:cs="Calibri"/>
          <w:noProof/>
          <w:lang w:val="sr-Latn-CS"/>
        </w:rPr>
      </w:pPr>
    </w:p>
    <w:p w:rsidR="00CE6D8A" w:rsidRPr="00A47E7E" w:rsidRDefault="00CE6D8A" w:rsidP="002A3CF5">
      <w:pPr>
        <w:tabs>
          <w:tab w:val="left" w:pos="-1440"/>
          <w:tab w:val="left" w:pos="-720"/>
          <w:tab w:val="left" w:pos="0"/>
          <w:tab w:val="left" w:pos="709"/>
          <w:tab w:val="left" w:pos="889"/>
          <w:tab w:val="left" w:pos="1094"/>
          <w:tab w:val="left" w:pos="4514"/>
          <w:tab w:val="right" w:pos="5472"/>
          <w:tab w:val="left" w:pos="5677"/>
          <w:tab w:val="right" w:pos="6635"/>
          <w:tab w:val="left" w:pos="6840"/>
          <w:tab w:val="right" w:pos="7729"/>
          <w:tab w:val="left" w:pos="7934"/>
          <w:tab w:val="right" w:pos="8960"/>
        </w:tabs>
        <w:suppressAutoHyphens/>
        <w:jc w:val="both"/>
        <w:rPr>
          <w:rFonts w:ascii="Calibri" w:hAnsi="Calibri" w:cs="Calibri"/>
          <w:noProof/>
          <w:lang w:val="sr-Latn-CS"/>
        </w:rPr>
      </w:pPr>
    </w:p>
    <w:p w:rsidR="00CE6D8A" w:rsidRDefault="00CE6D8A" w:rsidP="00B64A52">
      <w:pPr>
        <w:pStyle w:val="Heading1"/>
        <w:rPr>
          <w:rFonts w:ascii="Calibri" w:hAnsi="Calibri" w:cs="Calibri"/>
          <w:noProof/>
          <w:sz w:val="24"/>
          <w:szCs w:val="24"/>
        </w:rPr>
      </w:pPr>
      <w:bookmarkStart w:id="27" w:name="_Toc64534455"/>
      <w:r w:rsidRPr="00A47E7E">
        <w:rPr>
          <w:rFonts w:ascii="Calibri" w:hAnsi="Calibri" w:cs="Calibri"/>
          <w:noProof/>
          <w:sz w:val="24"/>
          <w:szCs w:val="24"/>
        </w:rPr>
        <w:t>OBAVEZE PREMA DRUŠTVU ZA UPRAVLJANJE</w:t>
      </w:r>
      <w:bookmarkEnd w:id="27"/>
    </w:p>
    <w:p w:rsidR="00CE6D8A" w:rsidRPr="00A47E7E" w:rsidRDefault="00CE6D8A" w:rsidP="00CE6D8A">
      <w:pPr>
        <w:tabs>
          <w:tab w:val="left" w:pos="-1440"/>
          <w:tab w:val="left" w:pos="-720"/>
        </w:tabs>
        <w:rPr>
          <w:rFonts w:ascii="Calibri" w:hAnsi="Calibri" w:cs="Calibri"/>
          <w:b/>
          <w:noProof/>
        </w:rPr>
      </w:pPr>
    </w:p>
    <w:p w:rsidR="00DB55A5" w:rsidRPr="00A47E7E" w:rsidRDefault="00CE6D8A" w:rsidP="00CE6D8A">
      <w:pPr>
        <w:tabs>
          <w:tab w:val="left" w:pos="-1440"/>
          <w:tab w:val="left" w:pos="-720"/>
          <w:tab w:val="left" w:pos="0"/>
          <w:tab w:val="left" w:pos="538"/>
          <w:tab w:val="left" w:pos="900"/>
          <w:tab w:val="left" w:pos="1231"/>
          <w:tab w:val="left" w:pos="4514"/>
          <w:tab w:val="center" w:pos="5076"/>
          <w:tab w:val="right" w:pos="5472"/>
          <w:tab w:val="left" w:pos="5677"/>
          <w:tab w:val="right" w:pos="6635"/>
          <w:tab w:val="left" w:pos="6840"/>
          <w:tab w:val="right" w:pos="7798"/>
          <w:tab w:val="left" w:pos="8003"/>
          <w:tab w:val="right" w:pos="8960"/>
        </w:tabs>
        <w:suppressAutoHyphens/>
        <w:jc w:val="both"/>
        <w:rPr>
          <w:rFonts w:ascii="Calibri" w:eastAsia="Arial Unicode MS" w:hAnsi="Calibri" w:cs="Calibri"/>
          <w:noProof/>
          <w:lang w:val="sr-Latn-CS"/>
        </w:rPr>
      </w:pPr>
      <w:r w:rsidRPr="00A47E7E">
        <w:rPr>
          <w:rFonts w:ascii="Calibri" w:eastAsia="Arial Unicode MS" w:hAnsi="Calibri" w:cs="Calibri"/>
          <w:noProof/>
          <w:lang w:val="sr-Latn-CS"/>
        </w:rPr>
        <w:t>Ob</w:t>
      </w:r>
      <w:r w:rsidR="000E0EAC">
        <w:rPr>
          <w:rFonts w:ascii="Calibri" w:eastAsia="Arial Unicode MS" w:hAnsi="Calibri" w:cs="Calibri"/>
          <w:noProof/>
          <w:lang w:val="sr-Latn-CS"/>
        </w:rPr>
        <w:t>aveza</w:t>
      </w:r>
      <w:r w:rsidR="00C442E1">
        <w:rPr>
          <w:rFonts w:ascii="Calibri" w:eastAsia="Arial Unicode MS" w:hAnsi="Calibri" w:cs="Calibri"/>
          <w:noProof/>
          <w:lang w:val="sr-Latn-CS"/>
        </w:rPr>
        <w:t xml:space="preserve"> prema Društvu na dan 31.03.2021</w:t>
      </w:r>
      <w:r w:rsidRPr="00A47E7E">
        <w:rPr>
          <w:rFonts w:ascii="Calibri" w:eastAsia="Arial Unicode MS" w:hAnsi="Calibri" w:cs="Calibri"/>
          <w:noProof/>
          <w:lang w:val="sr-Latn-CS"/>
        </w:rPr>
        <w:t xml:space="preserve">. godine iznose </w:t>
      </w:r>
      <w:r w:rsidR="00B00F21">
        <w:rPr>
          <w:rFonts w:ascii="Calibri" w:eastAsia="Arial Unicode MS" w:hAnsi="Calibri" w:cs="Calibri"/>
          <w:noProof/>
          <w:lang w:val="sr-Latn-CS"/>
        </w:rPr>
        <w:t>10.610</w:t>
      </w:r>
      <w:r w:rsidR="004D7FAB">
        <w:rPr>
          <w:rFonts w:ascii="Calibri" w:eastAsia="Arial Unicode MS" w:hAnsi="Calibri" w:cs="Calibri"/>
          <w:noProof/>
          <w:lang w:val="sr-Latn-CS"/>
        </w:rPr>
        <w:t xml:space="preserve"> </w:t>
      </w:r>
      <w:r w:rsidR="0003660C" w:rsidRPr="00A47E7E">
        <w:rPr>
          <w:rFonts w:ascii="Calibri" w:eastAsia="Arial Unicode MS" w:hAnsi="Calibri" w:cs="Calibri"/>
          <w:noProof/>
          <w:lang w:val="sr-Latn-CS"/>
        </w:rPr>
        <w:t>K</w:t>
      </w:r>
      <w:r w:rsidR="004D7FAB">
        <w:rPr>
          <w:rFonts w:ascii="Calibri" w:eastAsia="Arial Unicode MS" w:hAnsi="Calibri" w:cs="Calibri"/>
          <w:noProof/>
          <w:lang w:val="sr-Latn-CS"/>
        </w:rPr>
        <w:t>onvertibilnih</w:t>
      </w:r>
      <w:r w:rsidR="003259E6">
        <w:rPr>
          <w:rFonts w:ascii="Calibri" w:eastAsia="Arial Unicode MS" w:hAnsi="Calibri" w:cs="Calibri"/>
          <w:noProof/>
          <w:lang w:val="sr-Latn-CS"/>
        </w:rPr>
        <w:t xml:space="preserve"> mar</w:t>
      </w:r>
      <w:r w:rsidR="004D7FAB">
        <w:rPr>
          <w:rFonts w:ascii="Calibri" w:eastAsia="Arial Unicode MS" w:hAnsi="Calibri" w:cs="Calibri"/>
          <w:noProof/>
          <w:lang w:val="sr-Latn-CS"/>
        </w:rPr>
        <w:t>a</w:t>
      </w:r>
      <w:r w:rsidR="003259E6">
        <w:rPr>
          <w:rFonts w:ascii="Calibri" w:eastAsia="Arial Unicode MS" w:hAnsi="Calibri" w:cs="Calibri"/>
          <w:noProof/>
          <w:lang w:val="sr-Latn-CS"/>
        </w:rPr>
        <w:t>ka</w:t>
      </w:r>
      <w:r w:rsidR="00DB55A5" w:rsidRPr="00A47E7E">
        <w:rPr>
          <w:rFonts w:ascii="Calibri" w:eastAsia="Arial Unicode MS" w:hAnsi="Calibri" w:cs="Calibri"/>
          <w:noProof/>
          <w:lang w:val="sr-Latn-CS"/>
        </w:rPr>
        <w:t xml:space="preserve"> i odnose</w:t>
      </w:r>
      <w:r w:rsidR="004D7FAB" w:rsidRPr="004D7FAB">
        <w:rPr>
          <w:rFonts w:ascii="Calibri" w:eastAsia="Arial Unicode MS" w:hAnsi="Calibri" w:cs="Calibri"/>
          <w:noProof/>
          <w:lang w:val="sr-Latn-CS"/>
        </w:rPr>
        <w:t xml:space="preserve"> </w:t>
      </w:r>
      <w:r w:rsidR="004D7FAB" w:rsidRPr="00A47E7E">
        <w:rPr>
          <w:rFonts w:ascii="Calibri" w:eastAsia="Arial Unicode MS" w:hAnsi="Calibri" w:cs="Calibri"/>
          <w:noProof/>
          <w:lang w:val="sr-Latn-CS"/>
        </w:rPr>
        <w:t>se</w:t>
      </w:r>
      <w:r w:rsidR="00B00F21">
        <w:rPr>
          <w:rFonts w:ascii="Calibri" w:eastAsia="Arial Unicode MS" w:hAnsi="Calibri" w:cs="Calibri"/>
          <w:noProof/>
          <w:lang w:val="sr-Latn-CS"/>
        </w:rPr>
        <w:t xml:space="preserve"> na obavezu po osnovu naknade</w:t>
      </w:r>
      <w:r w:rsidR="004D7FAB">
        <w:rPr>
          <w:rFonts w:ascii="Calibri" w:eastAsia="Arial Unicode MS" w:hAnsi="Calibri" w:cs="Calibri"/>
          <w:noProof/>
          <w:lang w:val="sr-Latn-CS"/>
        </w:rPr>
        <w:t xml:space="preserve"> za upravljanje Fondom </w:t>
      </w:r>
      <w:r w:rsidR="00B00F21">
        <w:rPr>
          <w:rFonts w:ascii="Calibri" w:eastAsia="Arial Unicode MS" w:hAnsi="Calibri" w:cs="Calibri"/>
          <w:noProof/>
          <w:lang w:val="sr-Latn-CS"/>
        </w:rPr>
        <w:t xml:space="preserve">i izlazne </w:t>
      </w:r>
      <w:r w:rsidR="00B00F21" w:rsidRPr="00B00F21">
        <w:rPr>
          <w:rFonts w:ascii="Calibri" w:eastAsia="Arial Unicode MS" w:hAnsi="Calibri" w:cs="Calibri"/>
          <w:noProof/>
          <w:lang w:val="sr-Latn-CS"/>
        </w:rPr>
        <w:t xml:space="preserve">naknade 8.855 KM, 1.755 </w:t>
      </w:r>
      <w:r w:rsidR="004D7FAB" w:rsidRPr="00B00F21">
        <w:rPr>
          <w:rFonts w:ascii="Calibri" w:eastAsia="Arial Unicode MS" w:hAnsi="Calibri" w:cs="Calibri"/>
          <w:noProof/>
          <w:lang w:val="sr-Latn-CS"/>
        </w:rPr>
        <w:t>KM po osnovu otkupa udjela.</w:t>
      </w:r>
      <w:r w:rsidR="00DB55A5" w:rsidRPr="00A47E7E">
        <w:rPr>
          <w:rFonts w:ascii="Calibri" w:eastAsia="Arial Unicode MS" w:hAnsi="Calibri" w:cs="Calibri"/>
          <w:noProof/>
          <w:lang w:val="sr-Latn-CS"/>
        </w:rPr>
        <w:t xml:space="preserve"> </w:t>
      </w:r>
    </w:p>
    <w:p w:rsidR="00DB55A5" w:rsidRPr="00A47E7E" w:rsidRDefault="00DB55A5" w:rsidP="00CE6D8A">
      <w:pPr>
        <w:tabs>
          <w:tab w:val="left" w:pos="-1440"/>
          <w:tab w:val="left" w:pos="-720"/>
          <w:tab w:val="left" w:pos="0"/>
          <w:tab w:val="left" w:pos="538"/>
          <w:tab w:val="left" w:pos="900"/>
          <w:tab w:val="left" w:pos="1231"/>
          <w:tab w:val="left" w:pos="4514"/>
          <w:tab w:val="center" w:pos="5076"/>
          <w:tab w:val="right" w:pos="5472"/>
          <w:tab w:val="left" w:pos="5677"/>
          <w:tab w:val="right" w:pos="6635"/>
          <w:tab w:val="left" w:pos="6840"/>
          <w:tab w:val="right" w:pos="7798"/>
          <w:tab w:val="left" w:pos="8003"/>
          <w:tab w:val="right" w:pos="8960"/>
        </w:tabs>
        <w:suppressAutoHyphens/>
        <w:jc w:val="both"/>
        <w:rPr>
          <w:rFonts w:ascii="Calibri" w:eastAsia="Arial Unicode MS" w:hAnsi="Calibri" w:cs="Calibri"/>
          <w:noProof/>
          <w:lang w:val="sr-Latn-CS"/>
        </w:rPr>
      </w:pPr>
    </w:p>
    <w:p w:rsidR="00CE6D8A" w:rsidRPr="00A47E7E" w:rsidRDefault="00CE6D8A" w:rsidP="00CE6D8A">
      <w:pPr>
        <w:tabs>
          <w:tab w:val="left" w:pos="-1440"/>
          <w:tab w:val="left" w:pos="-720"/>
          <w:tab w:val="left" w:pos="0"/>
          <w:tab w:val="left" w:pos="709"/>
          <w:tab w:val="left" w:pos="889"/>
          <w:tab w:val="left" w:pos="1094"/>
          <w:tab w:val="left" w:pos="4514"/>
          <w:tab w:val="right" w:pos="5472"/>
          <w:tab w:val="left" w:pos="5677"/>
          <w:tab w:val="right" w:pos="6635"/>
          <w:tab w:val="left" w:pos="6840"/>
          <w:tab w:val="right" w:pos="7729"/>
          <w:tab w:val="left" w:pos="7934"/>
          <w:tab w:val="right" w:pos="8960"/>
        </w:tabs>
        <w:suppressAutoHyphens/>
        <w:jc w:val="both"/>
        <w:rPr>
          <w:rFonts w:ascii="Calibri" w:hAnsi="Calibri" w:cs="Calibri"/>
          <w:noProof/>
          <w:lang w:val="sr-Latn-CS"/>
        </w:rPr>
      </w:pPr>
    </w:p>
    <w:p w:rsidR="003457FC" w:rsidRPr="00A47E7E" w:rsidRDefault="00CE6D8A" w:rsidP="00F014B7">
      <w:pPr>
        <w:pStyle w:val="Heading1"/>
        <w:rPr>
          <w:rFonts w:ascii="Calibri" w:hAnsi="Calibri" w:cs="Calibri"/>
          <w:noProof/>
          <w:sz w:val="24"/>
          <w:szCs w:val="24"/>
        </w:rPr>
      </w:pPr>
      <w:bookmarkStart w:id="28" w:name="_Toc64534456"/>
      <w:r w:rsidRPr="00A47E7E">
        <w:rPr>
          <w:rFonts w:ascii="Calibri" w:hAnsi="Calibri" w:cs="Calibri"/>
          <w:noProof/>
          <w:sz w:val="24"/>
          <w:szCs w:val="24"/>
        </w:rPr>
        <w:t>KAPITAL</w:t>
      </w:r>
      <w:bookmarkEnd w:id="28"/>
    </w:p>
    <w:p w:rsidR="003457FC" w:rsidRPr="00A47E7E" w:rsidRDefault="003457FC" w:rsidP="00F014B7">
      <w:pPr>
        <w:pStyle w:val="Heading2"/>
        <w:jc w:val="center"/>
        <w:rPr>
          <w:rFonts w:ascii="Calibri" w:hAnsi="Calibri" w:cs="Calibri"/>
          <w:noProof/>
          <w:sz w:val="24"/>
          <w:szCs w:val="24"/>
        </w:rPr>
      </w:pPr>
      <w:bookmarkStart w:id="29" w:name="_Toc64534457"/>
      <w:r w:rsidRPr="00A47E7E">
        <w:rPr>
          <w:rFonts w:ascii="Calibri" w:hAnsi="Calibri" w:cs="Calibri"/>
          <w:noProof/>
          <w:sz w:val="24"/>
          <w:szCs w:val="24"/>
        </w:rPr>
        <w:t>Osnovni kapital- udjeli</w:t>
      </w:r>
      <w:bookmarkEnd w:id="29"/>
    </w:p>
    <w:p w:rsidR="003457FC" w:rsidRPr="00A47E7E" w:rsidRDefault="003457FC" w:rsidP="003457FC">
      <w:pPr>
        <w:pStyle w:val="BodyTextIndent"/>
        <w:suppressAutoHyphens/>
        <w:ind w:left="0"/>
        <w:jc w:val="both"/>
        <w:rPr>
          <w:rFonts w:ascii="Calibri" w:hAnsi="Calibri" w:cs="Calibri"/>
          <w:noProof/>
        </w:rPr>
      </w:pPr>
    </w:p>
    <w:p w:rsidR="003457FC" w:rsidRPr="00A47E7E" w:rsidRDefault="003457FC" w:rsidP="003457FC">
      <w:pPr>
        <w:pStyle w:val="BodyTextIndent"/>
        <w:suppressAutoHyphens/>
        <w:ind w:left="0"/>
        <w:jc w:val="both"/>
        <w:rPr>
          <w:rFonts w:ascii="Calibri" w:hAnsi="Calibri" w:cs="Calibri"/>
          <w:noProof/>
        </w:rPr>
      </w:pPr>
      <w:r w:rsidRPr="00A47E7E">
        <w:rPr>
          <w:rFonts w:ascii="Calibri" w:hAnsi="Calibri" w:cs="Calibri"/>
          <w:noProof/>
        </w:rPr>
        <w:t xml:space="preserve">Osnivački kapital-udjeli Fonda je utvrđen </w:t>
      </w:r>
      <w:r w:rsidRPr="00A47E7E">
        <w:rPr>
          <w:rFonts w:ascii="Calibri" w:hAnsi="Calibri" w:cs="Calibri"/>
          <w:lang w:val="hr-HR"/>
        </w:rPr>
        <w:t xml:space="preserve">u skladu sa Odlukom o </w:t>
      </w:r>
      <w:r w:rsidR="00510466">
        <w:rPr>
          <w:rFonts w:ascii="Calibri" w:hAnsi="Calibri" w:cs="Calibri"/>
          <w:lang w:val="hr-HR"/>
        </w:rPr>
        <w:t>potpunom</w:t>
      </w:r>
      <w:r w:rsidRPr="00A47E7E">
        <w:rPr>
          <w:rFonts w:ascii="Calibri" w:hAnsi="Calibri" w:cs="Calibri"/>
          <w:lang w:val="hr-HR"/>
        </w:rPr>
        <w:t xml:space="preserve"> preoblikovanju ZMIF-a u preoblikovanju </w:t>
      </w:r>
      <w:r w:rsidR="006656AB">
        <w:rPr>
          <w:rFonts w:ascii="Calibri" w:hAnsi="Calibri" w:cs="Calibri"/>
          <w:lang w:val="hr-HR"/>
        </w:rPr>
        <w:t>Kristal invest</w:t>
      </w:r>
      <w:r w:rsidRPr="00A47E7E">
        <w:rPr>
          <w:rFonts w:ascii="Calibri" w:hAnsi="Calibri" w:cs="Calibri"/>
          <w:lang w:val="hr-HR"/>
        </w:rPr>
        <w:t xml:space="preserve"> fond</w:t>
      </w:r>
      <w:r w:rsidR="004A4C21">
        <w:rPr>
          <w:rFonts w:ascii="Calibri" w:hAnsi="Calibri" w:cs="Calibri"/>
          <w:lang w:val="hr-HR"/>
        </w:rPr>
        <w:t>-a, Odlukom o osnivanju ONIF Cash fund-a</w:t>
      </w:r>
      <w:r w:rsidRPr="00A47E7E">
        <w:rPr>
          <w:rFonts w:ascii="Calibri" w:hAnsi="Calibri" w:cs="Calibri"/>
          <w:lang w:val="hr-HR"/>
        </w:rPr>
        <w:t xml:space="preserve"> </w:t>
      </w:r>
      <w:r w:rsidR="00E70E1C">
        <w:rPr>
          <w:rFonts w:ascii="Calibri" w:hAnsi="Calibri" w:cs="Calibri"/>
          <w:lang w:val="hr-HR"/>
        </w:rPr>
        <w:t xml:space="preserve">Banja </w:t>
      </w:r>
      <w:proofErr w:type="gramStart"/>
      <w:r w:rsidR="00E70E1C">
        <w:rPr>
          <w:rFonts w:ascii="Calibri" w:hAnsi="Calibri" w:cs="Calibri"/>
          <w:lang w:val="hr-HR"/>
        </w:rPr>
        <w:t xml:space="preserve">Luka </w:t>
      </w:r>
      <w:r w:rsidR="004A4C21">
        <w:rPr>
          <w:rFonts w:ascii="Calibri" w:hAnsi="Calibri" w:cs="Calibri"/>
          <w:lang w:val="hr-HR"/>
        </w:rPr>
        <w:t xml:space="preserve"> i</w:t>
      </w:r>
      <w:proofErr w:type="gramEnd"/>
      <w:r w:rsidR="004A4C21">
        <w:rPr>
          <w:rFonts w:ascii="Calibri" w:hAnsi="Calibri" w:cs="Calibri"/>
          <w:lang w:val="hr-HR"/>
        </w:rPr>
        <w:t xml:space="preserve"> </w:t>
      </w:r>
      <w:r w:rsidR="00E70E1C">
        <w:rPr>
          <w:rFonts w:ascii="Calibri" w:hAnsi="Calibri" w:cs="Calibri"/>
          <w:lang w:val="hr-HR"/>
        </w:rPr>
        <w:t>iznosi</w:t>
      </w:r>
      <w:r w:rsidRPr="00A47E7E">
        <w:rPr>
          <w:rFonts w:ascii="Calibri" w:hAnsi="Calibri" w:cs="Calibri"/>
          <w:lang w:val="hr-HR"/>
        </w:rPr>
        <w:t xml:space="preserve"> </w:t>
      </w:r>
      <w:r w:rsidR="004A4C21">
        <w:rPr>
          <w:rFonts w:ascii="Calibri" w:hAnsi="Calibri" w:cs="Calibri"/>
          <w:lang w:val="hr-HR"/>
        </w:rPr>
        <w:t>3.819.322 Konvertibilne marake</w:t>
      </w:r>
      <w:r w:rsidRPr="00A47E7E">
        <w:rPr>
          <w:rFonts w:ascii="Calibri" w:hAnsi="Calibri" w:cs="Calibri"/>
          <w:lang w:val="hr-HR"/>
        </w:rPr>
        <w:t xml:space="preserve">. </w:t>
      </w:r>
    </w:p>
    <w:p w:rsidR="003457FC" w:rsidRPr="00A47E7E" w:rsidRDefault="003457FC" w:rsidP="003457FC">
      <w:pPr>
        <w:pStyle w:val="BodyTextIndent"/>
        <w:suppressAutoHyphens/>
        <w:ind w:left="0"/>
        <w:jc w:val="both"/>
        <w:rPr>
          <w:rFonts w:ascii="Calibri" w:hAnsi="Calibri" w:cs="Calibri"/>
          <w:noProof/>
        </w:rPr>
      </w:pPr>
      <w:r w:rsidRPr="00A47E7E">
        <w:rPr>
          <w:rFonts w:ascii="Calibri" w:hAnsi="Calibri" w:cs="Calibri"/>
          <w:noProof/>
        </w:rPr>
        <w:t>Osnovni kapital je raspoređen na udjelničare tako da svakom udjelničaru pripada broj udjela srazmjezmje</w:t>
      </w:r>
      <w:r w:rsidR="006656AB">
        <w:rPr>
          <w:rFonts w:ascii="Calibri" w:hAnsi="Calibri" w:cs="Calibri"/>
          <w:noProof/>
        </w:rPr>
        <w:t>ran broju akcija u ZMIF-u Kristal invest</w:t>
      </w:r>
      <w:r w:rsidRPr="00A47E7E">
        <w:rPr>
          <w:rFonts w:ascii="Calibri" w:hAnsi="Calibri" w:cs="Calibri"/>
          <w:noProof/>
        </w:rPr>
        <w:t xml:space="preserve"> Fond ad Banja Luka na dan osnivanj</w:t>
      </w:r>
      <w:r w:rsidR="006656AB">
        <w:rPr>
          <w:rFonts w:ascii="Calibri" w:hAnsi="Calibri" w:cs="Calibri"/>
          <w:noProof/>
        </w:rPr>
        <w:t xml:space="preserve">a otvorenog investicionog fonda </w:t>
      </w:r>
      <w:r w:rsidR="004A4C21">
        <w:rPr>
          <w:rFonts w:ascii="Calibri" w:hAnsi="Calibri" w:cs="Calibri"/>
          <w:noProof/>
        </w:rPr>
        <w:t>Cash f</w:t>
      </w:r>
      <w:r w:rsidR="006656AB">
        <w:rPr>
          <w:rFonts w:ascii="Calibri" w:hAnsi="Calibri" w:cs="Calibri"/>
          <w:noProof/>
        </w:rPr>
        <w:t xml:space="preserve">und </w:t>
      </w:r>
      <w:r w:rsidR="004A4C21">
        <w:rPr>
          <w:rFonts w:ascii="Calibri" w:hAnsi="Calibri" w:cs="Calibri"/>
          <w:noProof/>
        </w:rPr>
        <w:t>23.11.2018</w:t>
      </w:r>
      <w:r w:rsidRPr="00A47E7E">
        <w:rPr>
          <w:rFonts w:ascii="Calibri" w:hAnsi="Calibri" w:cs="Calibri"/>
          <w:noProof/>
        </w:rPr>
        <w:t>. godine</w:t>
      </w:r>
      <w:r w:rsidR="004A4C21">
        <w:rPr>
          <w:rFonts w:ascii="Calibri" w:hAnsi="Calibri" w:cs="Calibri"/>
          <w:noProof/>
        </w:rPr>
        <w:t>,</w:t>
      </w:r>
      <w:r w:rsidRPr="00A47E7E">
        <w:rPr>
          <w:rFonts w:ascii="Calibri" w:hAnsi="Calibri" w:cs="Calibri"/>
          <w:noProof/>
        </w:rPr>
        <w:t xml:space="preserve"> a na osnovu liste akcionara u Centralnom registru hartija od vrijednosti Republike Srpske.</w:t>
      </w:r>
    </w:p>
    <w:p w:rsidR="009832DC" w:rsidRPr="00A47E7E" w:rsidRDefault="004D7FAB" w:rsidP="009832DC">
      <w:pPr>
        <w:pStyle w:val="BodyTextIndent"/>
        <w:suppressAutoHyphens/>
        <w:ind w:left="0"/>
        <w:jc w:val="both"/>
        <w:rPr>
          <w:rFonts w:ascii="Calibri" w:hAnsi="Calibri" w:cs="Calibri"/>
          <w:noProof/>
        </w:rPr>
      </w:pPr>
      <w:r>
        <w:rPr>
          <w:rFonts w:ascii="Calibri" w:hAnsi="Calibri" w:cs="Calibri"/>
          <w:noProof/>
        </w:rPr>
        <w:t xml:space="preserve">Na dan 31. </w:t>
      </w:r>
      <w:r w:rsidR="00C442E1">
        <w:rPr>
          <w:rFonts w:ascii="Calibri" w:hAnsi="Calibri" w:cs="Calibri"/>
          <w:noProof/>
        </w:rPr>
        <w:t>mart 2021</w:t>
      </w:r>
      <w:r w:rsidR="003457FC" w:rsidRPr="00A47E7E">
        <w:rPr>
          <w:rFonts w:ascii="Calibri" w:hAnsi="Calibri" w:cs="Calibri"/>
          <w:noProof/>
        </w:rPr>
        <w:t xml:space="preserve">. godine </w:t>
      </w:r>
      <w:r w:rsidR="00284F2B" w:rsidRPr="00A47E7E">
        <w:rPr>
          <w:rFonts w:ascii="Calibri" w:hAnsi="Calibri" w:cs="Calibri"/>
          <w:noProof/>
        </w:rPr>
        <w:t>broj udjela iznosi</w:t>
      </w:r>
      <w:r w:rsidR="003457FC" w:rsidRPr="00A47E7E">
        <w:rPr>
          <w:rFonts w:ascii="Calibri" w:hAnsi="Calibri" w:cs="Calibri"/>
          <w:noProof/>
        </w:rPr>
        <w:t xml:space="preserve"> </w:t>
      </w:r>
      <w:r w:rsidR="00C442E1">
        <w:rPr>
          <w:rFonts w:ascii="Calibri" w:hAnsi="Calibri" w:cs="Calibri"/>
          <w:noProof/>
        </w:rPr>
        <w:t>62</w:t>
      </w:r>
      <w:r>
        <w:rPr>
          <w:rFonts w:ascii="Calibri" w:hAnsi="Calibri" w:cs="Calibri"/>
          <w:noProof/>
        </w:rPr>
        <w:t>.</w:t>
      </w:r>
      <w:r w:rsidR="00C442E1">
        <w:rPr>
          <w:rFonts w:ascii="Calibri" w:hAnsi="Calibri" w:cs="Calibri"/>
          <w:noProof/>
        </w:rPr>
        <w:t>835</w:t>
      </w:r>
      <w:r>
        <w:rPr>
          <w:rFonts w:ascii="Calibri" w:hAnsi="Calibri" w:cs="Calibri"/>
          <w:noProof/>
        </w:rPr>
        <w:t>.</w:t>
      </w:r>
      <w:r w:rsidR="00C442E1">
        <w:rPr>
          <w:rFonts w:ascii="Calibri" w:hAnsi="Calibri" w:cs="Calibri"/>
          <w:noProof/>
        </w:rPr>
        <w:t>847</w:t>
      </w:r>
    </w:p>
    <w:p w:rsidR="00F014B7" w:rsidRPr="00A47E7E" w:rsidRDefault="00F014B7" w:rsidP="009832DC">
      <w:pPr>
        <w:pStyle w:val="BodyTextIndent"/>
        <w:suppressAutoHyphens/>
        <w:ind w:left="0"/>
        <w:jc w:val="both"/>
        <w:rPr>
          <w:rFonts w:ascii="Calibri" w:hAnsi="Calibri" w:cs="Calibri"/>
          <w:noProof/>
        </w:rPr>
      </w:pPr>
    </w:p>
    <w:p w:rsidR="003457FC" w:rsidRPr="00A47E7E" w:rsidRDefault="003457FC" w:rsidP="00F014B7">
      <w:pPr>
        <w:pStyle w:val="Heading2"/>
        <w:jc w:val="center"/>
        <w:rPr>
          <w:rFonts w:ascii="Calibri" w:hAnsi="Calibri" w:cs="Calibri"/>
          <w:noProof/>
          <w:sz w:val="24"/>
          <w:szCs w:val="24"/>
        </w:rPr>
      </w:pPr>
      <w:bookmarkStart w:id="30" w:name="_Toc64534458"/>
      <w:r w:rsidRPr="00A47E7E">
        <w:rPr>
          <w:rFonts w:ascii="Calibri" w:hAnsi="Calibri" w:cs="Calibri"/>
          <w:noProof/>
          <w:sz w:val="24"/>
          <w:szCs w:val="24"/>
        </w:rPr>
        <w:t>Revalorizacione rezerve po osnovu finansijskih sredstava raspoloživih za prodaju</w:t>
      </w:r>
      <w:bookmarkEnd w:id="30"/>
    </w:p>
    <w:p w:rsidR="003457FC" w:rsidRPr="00A47E7E" w:rsidRDefault="003457FC" w:rsidP="00F014B7">
      <w:pPr>
        <w:pStyle w:val="BodyTextIndent"/>
        <w:suppressAutoHyphens/>
        <w:ind w:left="0"/>
        <w:jc w:val="both"/>
        <w:rPr>
          <w:rFonts w:ascii="Calibri" w:hAnsi="Calibri" w:cs="Calibri"/>
          <w:noProof/>
        </w:rPr>
      </w:pPr>
      <w:r w:rsidRPr="00A47E7E">
        <w:rPr>
          <w:rFonts w:ascii="Calibri" w:hAnsi="Calibri" w:cs="Calibri"/>
          <w:noProof/>
        </w:rPr>
        <w:t>Revalorizacione rezerve po osnovu finansijskih sredstava rasp</w:t>
      </w:r>
      <w:r w:rsidR="004D7FAB">
        <w:rPr>
          <w:rFonts w:ascii="Calibri" w:hAnsi="Calibri" w:cs="Calibri"/>
          <w:noProof/>
        </w:rPr>
        <w:t>oloživih za prodaju na dan 31</w:t>
      </w:r>
      <w:r w:rsidR="006656AB">
        <w:rPr>
          <w:rFonts w:ascii="Calibri" w:hAnsi="Calibri" w:cs="Calibri"/>
          <w:noProof/>
        </w:rPr>
        <w:t xml:space="preserve">. </w:t>
      </w:r>
      <w:r w:rsidR="00C442E1">
        <w:rPr>
          <w:rFonts w:ascii="Calibri" w:hAnsi="Calibri" w:cs="Calibri"/>
          <w:noProof/>
        </w:rPr>
        <w:t>mart 2021</w:t>
      </w:r>
      <w:r w:rsidRPr="00A47E7E">
        <w:rPr>
          <w:rFonts w:ascii="Calibri" w:hAnsi="Calibri" w:cs="Calibri"/>
          <w:noProof/>
        </w:rPr>
        <w:t xml:space="preserve">. godine </w:t>
      </w:r>
      <w:r w:rsidRPr="00130798">
        <w:rPr>
          <w:rFonts w:ascii="Calibri" w:hAnsi="Calibri" w:cs="Calibri"/>
          <w:noProof/>
        </w:rPr>
        <w:t xml:space="preserve">iznose </w:t>
      </w:r>
      <w:r w:rsidR="00B00F21">
        <w:rPr>
          <w:rFonts w:ascii="Calibri" w:hAnsi="Calibri" w:cs="Calibri"/>
          <w:noProof/>
        </w:rPr>
        <w:t>2.340</w:t>
      </w:r>
      <w:r w:rsidR="003259E6">
        <w:rPr>
          <w:rFonts w:ascii="Calibri" w:hAnsi="Calibri" w:cs="Calibri"/>
          <w:noProof/>
        </w:rPr>
        <w:t xml:space="preserve"> Konvertibilne marke</w:t>
      </w:r>
      <w:r w:rsidR="004A4C21">
        <w:rPr>
          <w:rFonts w:ascii="Calibri" w:hAnsi="Calibri" w:cs="Calibri"/>
          <w:noProof/>
        </w:rPr>
        <w:t xml:space="preserve"> </w:t>
      </w:r>
      <w:r w:rsidRPr="00A47E7E">
        <w:rPr>
          <w:rFonts w:ascii="Calibri" w:hAnsi="Calibri" w:cs="Calibri"/>
          <w:noProof/>
        </w:rPr>
        <w:t xml:space="preserve">i predstavljaju akumulirane nerealizovane </w:t>
      </w:r>
      <w:r w:rsidR="00130798">
        <w:rPr>
          <w:rFonts w:ascii="Calibri" w:hAnsi="Calibri" w:cs="Calibri"/>
          <w:noProof/>
        </w:rPr>
        <w:t>gubitke</w:t>
      </w:r>
      <w:r w:rsidRPr="00A47E7E">
        <w:rPr>
          <w:rFonts w:ascii="Calibri" w:hAnsi="Calibri" w:cs="Calibri"/>
          <w:noProof/>
        </w:rPr>
        <w:t xml:space="preserve"> nastale po osnovu promjene fer vrijednosti finansijskih sredstava (hartija od vrijednosti) Fonda, koje su klasifikovane </w:t>
      </w:r>
      <w:r w:rsidRPr="001975D5">
        <w:rPr>
          <w:rFonts w:ascii="Calibri" w:hAnsi="Calibri" w:cs="Calibri"/>
          <w:noProof/>
        </w:rPr>
        <w:t>kao "finansijska sredstva raspoloživa</w:t>
      </w:r>
      <w:r w:rsidRPr="004D7FAB">
        <w:rPr>
          <w:rFonts w:ascii="Calibri" w:hAnsi="Calibri" w:cs="Calibri"/>
          <w:noProof/>
        </w:rPr>
        <w:t xml:space="preserve"> za</w:t>
      </w:r>
      <w:r w:rsidRPr="00A47E7E">
        <w:rPr>
          <w:rFonts w:ascii="Calibri" w:hAnsi="Calibri" w:cs="Calibri"/>
          <w:noProof/>
        </w:rPr>
        <w:t xml:space="preserve"> prodaju", a u skladu sa IAS 39 "Finansijski instrumenti: priznavanje i odmjeravanje", po kojem se dobitak ili gubitak koji se javlja usljed promjene fer vrijednosti finansijskog </w:t>
      </w:r>
      <w:r w:rsidRPr="00A47E7E">
        <w:rPr>
          <w:rFonts w:ascii="Calibri" w:hAnsi="Calibri" w:cs="Calibri"/>
          <w:noProof/>
        </w:rPr>
        <w:lastRenderedPageBreak/>
        <w:t>sredstva raspoloživog za prodaju treba priznati direktno u kapital, odnosno kao dio revalorizacionih rezervi.</w:t>
      </w:r>
    </w:p>
    <w:p w:rsidR="009832DC" w:rsidRPr="00A47E7E" w:rsidRDefault="003457FC" w:rsidP="00F014B7">
      <w:pPr>
        <w:pStyle w:val="Heading2"/>
        <w:jc w:val="center"/>
        <w:rPr>
          <w:rFonts w:ascii="Calibri" w:hAnsi="Calibri" w:cs="Calibri"/>
          <w:noProof/>
          <w:sz w:val="24"/>
          <w:szCs w:val="24"/>
        </w:rPr>
      </w:pPr>
      <w:bookmarkStart w:id="31" w:name="_Toc64534459"/>
      <w:r w:rsidRPr="00A47E7E">
        <w:rPr>
          <w:rFonts w:ascii="Calibri" w:hAnsi="Calibri" w:cs="Calibri"/>
          <w:noProof/>
          <w:sz w:val="24"/>
          <w:szCs w:val="24"/>
        </w:rPr>
        <w:t xml:space="preserve">Nerealizovani </w:t>
      </w:r>
      <w:r w:rsidR="0009145D" w:rsidRPr="00A47E7E">
        <w:rPr>
          <w:rFonts w:ascii="Calibri" w:hAnsi="Calibri" w:cs="Calibri"/>
          <w:noProof/>
          <w:sz w:val="24"/>
          <w:szCs w:val="24"/>
        </w:rPr>
        <w:t>d</w:t>
      </w:r>
      <w:r w:rsidR="0003660C" w:rsidRPr="00A47E7E">
        <w:rPr>
          <w:rFonts w:ascii="Calibri" w:hAnsi="Calibri" w:cs="Calibri"/>
          <w:noProof/>
          <w:sz w:val="24"/>
          <w:szCs w:val="24"/>
        </w:rPr>
        <w:t>obic</w:t>
      </w:r>
      <w:r w:rsidR="0009145D" w:rsidRPr="00A47E7E">
        <w:rPr>
          <w:rFonts w:ascii="Calibri" w:hAnsi="Calibri" w:cs="Calibri"/>
          <w:noProof/>
          <w:sz w:val="24"/>
          <w:szCs w:val="24"/>
        </w:rPr>
        <w:t>i</w:t>
      </w:r>
      <w:r w:rsidR="0003660C" w:rsidRPr="00A47E7E">
        <w:rPr>
          <w:rFonts w:ascii="Calibri" w:hAnsi="Calibri" w:cs="Calibri"/>
          <w:noProof/>
          <w:sz w:val="24"/>
          <w:szCs w:val="24"/>
        </w:rPr>
        <w:t>/</w:t>
      </w:r>
      <w:r w:rsidRPr="00A47E7E">
        <w:rPr>
          <w:rFonts w:ascii="Calibri" w:hAnsi="Calibri" w:cs="Calibri"/>
          <w:noProof/>
          <w:sz w:val="24"/>
          <w:szCs w:val="24"/>
        </w:rPr>
        <w:t>gubici po osnovu finansijskih sredstava vrednovanih po fer vrijednosti kroz bilans uspjeha</w:t>
      </w:r>
      <w:bookmarkEnd w:id="31"/>
    </w:p>
    <w:p w:rsidR="00F014B7" w:rsidRPr="00A47E7E" w:rsidRDefault="00F014B7" w:rsidP="00F014B7"/>
    <w:p w:rsidR="00CE6D8A" w:rsidRPr="00A47E7E" w:rsidRDefault="003457FC" w:rsidP="009832DC">
      <w:pPr>
        <w:pStyle w:val="BodyTextIndent"/>
        <w:suppressAutoHyphens/>
        <w:ind w:left="0"/>
        <w:jc w:val="both"/>
        <w:rPr>
          <w:rFonts w:ascii="Calibri" w:hAnsi="Calibri" w:cs="Calibri"/>
          <w:noProof/>
        </w:rPr>
      </w:pPr>
      <w:r w:rsidRPr="00A47E7E">
        <w:rPr>
          <w:rFonts w:ascii="Calibri" w:hAnsi="Calibri" w:cs="Calibri"/>
          <w:noProof/>
        </w:rPr>
        <w:t xml:space="preserve">Nerealizovani </w:t>
      </w:r>
      <w:r w:rsidR="0009145D" w:rsidRPr="00A47E7E">
        <w:rPr>
          <w:rFonts w:ascii="Calibri" w:hAnsi="Calibri" w:cs="Calibri"/>
          <w:noProof/>
        </w:rPr>
        <w:t>dobici/</w:t>
      </w:r>
      <w:r w:rsidRPr="00A47E7E">
        <w:rPr>
          <w:rFonts w:ascii="Calibri" w:hAnsi="Calibri" w:cs="Calibri"/>
          <w:noProof/>
        </w:rPr>
        <w:t>gubici po osnovu finansijskih sredstava vrednovanih po fer vrijednos</w:t>
      </w:r>
      <w:r w:rsidR="000358C3">
        <w:rPr>
          <w:rFonts w:ascii="Calibri" w:hAnsi="Calibri" w:cs="Calibri"/>
          <w:noProof/>
        </w:rPr>
        <w:t>ti kroz bilans uspjeha na dan 31</w:t>
      </w:r>
      <w:r w:rsidRPr="00A47E7E">
        <w:rPr>
          <w:rFonts w:ascii="Calibri" w:hAnsi="Calibri" w:cs="Calibri"/>
          <w:noProof/>
        </w:rPr>
        <w:t xml:space="preserve">. </w:t>
      </w:r>
      <w:r w:rsidR="00B00F21">
        <w:rPr>
          <w:rFonts w:ascii="Calibri" w:hAnsi="Calibri" w:cs="Calibri"/>
          <w:noProof/>
        </w:rPr>
        <w:t>mart 2021</w:t>
      </w:r>
      <w:r w:rsidRPr="00A47E7E">
        <w:rPr>
          <w:rFonts w:ascii="Calibri" w:hAnsi="Calibri" w:cs="Calibri"/>
          <w:noProof/>
        </w:rPr>
        <w:t xml:space="preserve">. godine iznose  </w:t>
      </w:r>
      <w:r w:rsidR="00B00F21">
        <w:rPr>
          <w:rFonts w:ascii="Calibri" w:hAnsi="Calibri" w:cs="Calibri"/>
          <w:noProof/>
        </w:rPr>
        <w:t>128.135</w:t>
      </w:r>
      <w:r w:rsidRPr="00A47E7E">
        <w:rPr>
          <w:rFonts w:ascii="Calibri" w:hAnsi="Calibri" w:cs="Calibri"/>
          <w:noProof/>
        </w:rPr>
        <w:t xml:space="preserve"> Konvertibilnih maraka i predstavljaju akumulirane nerealizovane </w:t>
      </w:r>
      <w:r w:rsidR="000C483E" w:rsidRPr="00A47E7E">
        <w:rPr>
          <w:rFonts w:ascii="Calibri" w:hAnsi="Calibri" w:cs="Calibri"/>
          <w:noProof/>
        </w:rPr>
        <w:t>dobitke/</w:t>
      </w:r>
      <w:r w:rsidRPr="00A47E7E">
        <w:rPr>
          <w:rFonts w:ascii="Calibri" w:hAnsi="Calibri" w:cs="Calibri"/>
          <w:noProof/>
        </w:rPr>
        <w:t>gubitke nastale po osnovu promjene fer vrijednosti finansijskih sredstava (hartija od vrijednosti) Fonda, a u skladu sa Pravilnikom o kontnom okviru, sadržini računa u kontnom okviru i sadržini i formi finansijskih izvještaja za investicione fondove, po kojem se dobitak ili gubitak koji se javlja usljed promjene fer vrijednosti finansijskog sredstva vrednovanog po fer vrijednosti kroz bilans uspjeha treba priznati direktno u kapital.</w:t>
      </w:r>
    </w:p>
    <w:p w:rsidR="009832DC" w:rsidRPr="00A47E7E" w:rsidRDefault="009832DC" w:rsidP="009832DC">
      <w:pPr>
        <w:pStyle w:val="BodyTextIndent"/>
        <w:suppressAutoHyphens/>
        <w:ind w:left="0"/>
        <w:jc w:val="both"/>
        <w:rPr>
          <w:rFonts w:ascii="Calibri" w:hAnsi="Calibri" w:cs="Calibri"/>
          <w:noProof/>
        </w:rPr>
      </w:pPr>
    </w:p>
    <w:p w:rsidR="00CE6D8A" w:rsidRPr="00A47E7E" w:rsidRDefault="00B5045F" w:rsidP="00B64A52">
      <w:pPr>
        <w:pStyle w:val="Heading1"/>
        <w:rPr>
          <w:rFonts w:ascii="Calibri" w:hAnsi="Calibri" w:cs="Calibri"/>
          <w:noProof/>
          <w:sz w:val="24"/>
          <w:szCs w:val="24"/>
        </w:rPr>
      </w:pPr>
      <w:bookmarkStart w:id="32" w:name="_Toc64534460"/>
      <w:r w:rsidRPr="00A47E7E">
        <w:rPr>
          <w:rFonts w:ascii="Calibri" w:hAnsi="Calibri" w:cs="Calibri"/>
          <w:noProof/>
          <w:sz w:val="24"/>
          <w:szCs w:val="24"/>
        </w:rPr>
        <w:t>ZARADA / (GUBITAK) PO UDJELU</w:t>
      </w:r>
      <w:bookmarkEnd w:id="32"/>
    </w:p>
    <w:tbl>
      <w:tblPr>
        <w:tblW w:w="8632" w:type="dxa"/>
        <w:tblInd w:w="99" w:type="dxa"/>
        <w:tblLook w:val="04A0" w:firstRow="1" w:lastRow="0" w:firstColumn="1" w:lastColumn="0" w:noHBand="0" w:noVBand="1"/>
      </w:tblPr>
      <w:tblGrid>
        <w:gridCol w:w="5160"/>
        <w:gridCol w:w="2040"/>
        <w:gridCol w:w="1432"/>
      </w:tblGrid>
      <w:tr w:rsidR="00121128" w:rsidRPr="0042069D" w:rsidTr="00BB3F91">
        <w:trPr>
          <w:trHeight w:val="310"/>
        </w:trPr>
        <w:tc>
          <w:tcPr>
            <w:tcW w:w="5160" w:type="dxa"/>
            <w:tcBorders>
              <w:top w:val="nil"/>
              <w:left w:val="nil"/>
              <w:bottom w:val="nil"/>
              <w:right w:val="nil"/>
            </w:tcBorders>
            <w:shd w:val="clear" w:color="000000" w:fill="FFFFFF"/>
            <w:noWrap/>
            <w:vAlign w:val="bottom"/>
            <w:hideMark/>
          </w:tcPr>
          <w:p w:rsidR="00121128" w:rsidRPr="0042069D" w:rsidRDefault="00121128" w:rsidP="0042069D">
            <w:pPr>
              <w:rPr>
                <w:rFonts w:ascii="Calibri" w:hAnsi="Calibri"/>
                <w:color w:val="000000"/>
                <w:lang w:val="sr-Latn-BA" w:eastAsia="sr-Latn-BA"/>
              </w:rPr>
            </w:pPr>
            <w:r w:rsidRPr="0042069D">
              <w:rPr>
                <w:rFonts w:ascii="Calibri" w:hAnsi="Calibri"/>
                <w:color w:val="000000"/>
                <w:lang w:val="sr-Latn-BA" w:eastAsia="sr-Latn-BA"/>
              </w:rPr>
              <w:t> </w:t>
            </w:r>
          </w:p>
        </w:tc>
        <w:tc>
          <w:tcPr>
            <w:tcW w:w="2040" w:type="dxa"/>
            <w:tcBorders>
              <w:top w:val="nil"/>
              <w:left w:val="nil"/>
              <w:bottom w:val="nil"/>
              <w:right w:val="nil"/>
            </w:tcBorders>
            <w:shd w:val="clear" w:color="000000" w:fill="FFFFFF"/>
            <w:noWrap/>
            <w:vAlign w:val="bottom"/>
            <w:hideMark/>
          </w:tcPr>
          <w:p w:rsidR="00121128" w:rsidRDefault="00121128">
            <w:pPr>
              <w:jc w:val="center"/>
              <w:rPr>
                <w:rFonts w:ascii="Calibri" w:hAnsi="Calibri"/>
                <w:b/>
                <w:bCs/>
                <w:color w:val="000000"/>
              </w:rPr>
            </w:pPr>
            <w:r>
              <w:rPr>
                <w:rFonts w:ascii="Calibri" w:hAnsi="Calibri"/>
                <w:b/>
                <w:bCs/>
                <w:color w:val="000000"/>
              </w:rPr>
              <w:t>20</w:t>
            </w:r>
            <w:r w:rsidR="00F71AA5">
              <w:rPr>
                <w:rFonts w:ascii="Calibri" w:hAnsi="Calibri"/>
                <w:b/>
                <w:bCs/>
                <w:color w:val="000000"/>
              </w:rPr>
              <w:t>2</w:t>
            </w:r>
            <w:r w:rsidR="00C6368C">
              <w:rPr>
                <w:rFonts w:ascii="Calibri" w:hAnsi="Calibri"/>
                <w:b/>
                <w:bCs/>
                <w:color w:val="000000"/>
              </w:rPr>
              <w:t>1</w:t>
            </w:r>
          </w:p>
        </w:tc>
        <w:tc>
          <w:tcPr>
            <w:tcW w:w="1432" w:type="dxa"/>
            <w:tcBorders>
              <w:top w:val="nil"/>
              <w:left w:val="nil"/>
              <w:bottom w:val="nil"/>
              <w:right w:val="nil"/>
            </w:tcBorders>
            <w:shd w:val="clear" w:color="000000" w:fill="FFFFFF"/>
            <w:noWrap/>
            <w:vAlign w:val="bottom"/>
            <w:hideMark/>
          </w:tcPr>
          <w:p w:rsidR="00121128" w:rsidRPr="0042069D" w:rsidRDefault="00121128" w:rsidP="0042069D">
            <w:pPr>
              <w:jc w:val="center"/>
              <w:rPr>
                <w:rFonts w:ascii="Calibri" w:hAnsi="Calibri"/>
                <w:b/>
                <w:bCs/>
                <w:color w:val="000000"/>
                <w:lang w:val="sr-Latn-BA" w:eastAsia="sr-Latn-BA"/>
              </w:rPr>
            </w:pPr>
            <w:r w:rsidRPr="0042069D">
              <w:rPr>
                <w:rFonts w:ascii="Calibri" w:hAnsi="Calibri"/>
                <w:b/>
                <w:bCs/>
                <w:color w:val="000000"/>
                <w:lang w:val="sr-Latn-BA" w:eastAsia="sr-Latn-BA"/>
              </w:rPr>
              <w:t>20</w:t>
            </w:r>
            <w:r w:rsidR="00C6368C">
              <w:rPr>
                <w:rFonts w:ascii="Calibri" w:hAnsi="Calibri"/>
                <w:b/>
                <w:bCs/>
                <w:color w:val="000000"/>
                <w:lang w:val="sr-Latn-BA" w:eastAsia="sr-Latn-BA"/>
              </w:rPr>
              <w:t>20</w:t>
            </w:r>
          </w:p>
        </w:tc>
      </w:tr>
      <w:tr w:rsidR="000358C3" w:rsidRPr="0042069D" w:rsidTr="00BB3F91">
        <w:trPr>
          <w:trHeight w:val="310"/>
        </w:trPr>
        <w:tc>
          <w:tcPr>
            <w:tcW w:w="5160" w:type="dxa"/>
            <w:tcBorders>
              <w:top w:val="nil"/>
              <w:left w:val="nil"/>
              <w:bottom w:val="nil"/>
              <w:right w:val="nil"/>
            </w:tcBorders>
            <w:shd w:val="clear" w:color="000000" w:fill="FFFFFF"/>
            <w:noWrap/>
            <w:vAlign w:val="bottom"/>
          </w:tcPr>
          <w:p w:rsidR="000358C3" w:rsidRPr="0042069D" w:rsidRDefault="004720D7" w:rsidP="0042069D">
            <w:pPr>
              <w:rPr>
                <w:rFonts w:ascii="Calibri" w:hAnsi="Calibri"/>
                <w:color w:val="000000"/>
                <w:lang w:val="sr-Latn-BA" w:eastAsia="sr-Latn-BA"/>
              </w:rPr>
            </w:pPr>
            <w:r>
              <w:rPr>
                <w:rFonts w:ascii="Calibri" w:hAnsi="Calibri"/>
                <w:color w:val="000000"/>
                <w:lang w:val="sr-Latn-BA" w:eastAsia="sr-Latn-BA"/>
              </w:rPr>
              <w:t>D</w:t>
            </w:r>
            <w:r w:rsidR="000358C3" w:rsidRPr="0042069D">
              <w:rPr>
                <w:rFonts w:ascii="Calibri" w:hAnsi="Calibri"/>
                <w:color w:val="000000"/>
                <w:lang w:val="sr-Latn-BA" w:eastAsia="sr-Latn-BA"/>
              </w:rPr>
              <w:t>obitak/ (gubitak) obračunskog perioda</w:t>
            </w:r>
            <w:r w:rsidR="005C41E2">
              <w:rPr>
                <w:rFonts w:ascii="Calibri" w:hAnsi="Calibri"/>
                <w:color w:val="000000"/>
                <w:lang w:val="sr-Latn-BA" w:eastAsia="sr-Latn-BA"/>
              </w:rPr>
              <w:t>-poslovanje</w:t>
            </w:r>
          </w:p>
        </w:tc>
        <w:tc>
          <w:tcPr>
            <w:tcW w:w="2040" w:type="dxa"/>
            <w:tcBorders>
              <w:top w:val="nil"/>
              <w:left w:val="nil"/>
              <w:bottom w:val="nil"/>
              <w:right w:val="nil"/>
            </w:tcBorders>
            <w:shd w:val="clear" w:color="000000" w:fill="FFFFFF"/>
            <w:noWrap/>
            <w:vAlign w:val="bottom"/>
          </w:tcPr>
          <w:p w:rsidR="000358C3" w:rsidRPr="004720D7" w:rsidRDefault="0061007F" w:rsidP="004720D7">
            <w:pPr>
              <w:jc w:val="right"/>
              <w:rPr>
                <w:rFonts w:ascii="Calibri" w:hAnsi="Calibri"/>
                <w:bCs/>
                <w:color w:val="000000"/>
              </w:rPr>
            </w:pPr>
            <w:r>
              <w:rPr>
                <w:rFonts w:ascii="Calibri" w:hAnsi="Calibri"/>
                <w:bCs/>
                <w:color w:val="000000"/>
              </w:rPr>
              <w:t>(17.412)</w:t>
            </w:r>
          </w:p>
        </w:tc>
        <w:tc>
          <w:tcPr>
            <w:tcW w:w="1432" w:type="dxa"/>
            <w:tcBorders>
              <w:top w:val="nil"/>
              <w:left w:val="nil"/>
              <w:bottom w:val="nil"/>
              <w:right w:val="nil"/>
            </w:tcBorders>
            <w:shd w:val="clear" w:color="000000" w:fill="FFFFFF"/>
            <w:noWrap/>
            <w:vAlign w:val="bottom"/>
          </w:tcPr>
          <w:p w:rsidR="000358C3" w:rsidRPr="00BB45EB" w:rsidRDefault="0078416E" w:rsidP="0061007F">
            <w:pPr>
              <w:jc w:val="right"/>
              <w:rPr>
                <w:rFonts w:ascii="Calibri" w:hAnsi="Calibri"/>
                <w:bCs/>
                <w:color w:val="000000"/>
                <w:lang w:val="sr-Latn-BA" w:eastAsia="sr-Latn-BA"/>
              </w:rPr>
            </w:pPr>
            <w:r>
              <w:rPr>
                <w:rFonts w:ascii="Calibri" w:hAnsi="Calibri"/>
                <w:bCs/>
                <w:color w:val="000000"/>
                <w:lang w:val="sr-Latn-BA" w:eastAsia="sr-Latn-BA"/>
              </w:rPr>
              <w:t>(</w:t>
            </w:r>
            <w:r w:rsidR="0061007F">
              <w:rPr>
                <w:rFonts w:ascii="Calibri" w:hAnsi="Calibri"/>
                <w:bCs/>
                <w:color w:val="000000"/>
                <w:lang w:val="sr-Latn-BA" w:eastAsia="sr-Latn-BA"/>
              </w:rPr>
              <w:t>22.794</w:t>
            </w:r>
            <w:r>
              <w:rPr>
                <w:rFonts w:ascii="Calibri" w:hAnsi="Calibri"/>
                <w:bCs/>
                <w:color w:val="000000"/>
                <w:lang w:val="sr-Latn-BA" w:eastAsia="sr-Latn-BA"/>
              </w:rPr>
              <w:t>)</w:t>
            </w:r>
          </w:p>
        </w:tc>
      </w:tr>
      <w:tr w:rsidR="009659CB" w:rsidRPr="00BB45EB" w:rsidTr="004720D7">
        <w:trPr>
          <w:trHeight w:val="521"/>
        </w:trPr>
        <w:tc>
          <w:tcPr>
            <w:tcW w:w="5160" w:type="dxa"/>
            <w:tcBorders>
              <w:top w:val="nil"/>
              <w:left w:val="nil"/>
              <w:bottom w:val="nil"/>
              <w:right w:val="nil"/>
            </w:tcBorders>
            <w:shd w:val="clear" w:color="000000" w:fill="FFFFFF"/>
            <w:vAlign w:val="center"/>
            <w:hideMark/>
          </w:tcPr>
          <w:p w:rsidR="009659CB" w:rsidRPr="0042069D" w:rsidRDefault="004720D7" w:rsidP="000C0214">
            <w:pPr>
              <w:rPr>
                <w:rFonts w:ascii="Calibri" w:hAnsi="Calibri"/>
                <w:color w:val="000000"/>
                <w:lang w:val="sr-Latn-BA" w:eastAsia="sr-Latn-BA"/>
              </w:rPr>
            </w:pPr>
            <w:r>
              <w:rPr>
                <w:rFonts w:ascii="Calibri" w:hAnsi="Calibri"/>
                <w:color w:val="000000"/>
                <w:lang w:val="sr-Latn-BA" w:eastAsia="sr-Latn-BA"/>
              </w:rPr>
              <w:t>Ukupan d</w:t>
            </w:r>
            <w:r w:rsidR="009659CB" w:rsidRPr="0042069D">
              <w:rPr>
                <w:rFonts w:ascii="Calibri" w:hAnsi="Calibri"/>
                <w:color w:val="000000"/>
                <w:lang w:val="sr-Latn-BA" w:eastAsia="sr-Latn-BA"/>
              </w:rPr>
              <w:t xml:space="preserve">obitak/ (gubitak) obračunskog perioda </w:t>
            </w:r>
          </w:p>
        </w:tc>
        <w:tc>
          <w:tcPr>
            <w:tcW w:w="2040" w:type="dxa"/>
            <w:tcBorders>
              <w:top w:val="nil"/>
              <w:left w:val="nil"/>
              <w:bottom w:val="nil"/>
              <w:right w:val="nil"/>
            </w:tcBorders>
            <w:shd w:val="clear" w:color="000000" w:fill="FFFFFF"/>
            <w:noWrap/>
            <w:vAlign w:val="bottom"/>
            <w:hideMark/>
          </w:tcPr>
          <w:p w:rsidR="009659CB" w:rsidRDefault="009659CB" w:rsidP="00BB3F91">
            <w:pPr>
              <w:jc w:val="right"/>
              <w:rPr>
                <w:rFonts w:ascii="Calibri" w:hAnsi="Calibri"/>
                <w:color w:val="000000"/>
              </w:rPr>
            </w:pPr>
            <w:r>
              <w:rPr>
                <w:rFonts w:ascii="Calibri" w:hAnsi="Calibri"/>
                <w:color w:val="000000"/>
              </w:rPr>
              <w:t xml:space="preserve">                </w:t>
            </w:r>
          </w:p>
          <w:p w:rsidR="009659CB" w:rsidRDefault="009659CB" w:rsidP="0061007F">
            <w:pPr>
              <w:jc w:val="right"/>
              <w:rPr>
                <w:rFonts w:ascii="Calibri" w:hAnsi="Calibri"/>
                <w:color w:val="000000"/>
              </w:rPr>
            </w:pPr>
            <w:r>
              <w:rPr>
                <w:rFonts w:ascii="Calibri" w:hAnsi="Calibri"/>
                <w:color w:val="000000"/>
              </w:rPr>
              <w:t xml:space="preserve">                  </w:t>
            </w:r>
            <w:r w:rsidR="0061007F">
              <w:rPr>
                <w:rFonts w:ascii="Calibri" w:hAnsi="Calibri"/>
                <w:color w:val="000000"/>
              </w:rPr>
              <w:t>(17.412)</w:t>
            </w:r>
            <w:r>
              <w:rPr>
                <w:rFonts w:ascii="Calibri" w:hAnsi="Calibri"/>
                <w:color w:val="000000"/>
              </w:rPr>
              <w:t xml:space="preserve">    </w:t>
            </w:r>
          </w:p>
        </w:tc>
        <w:tc>
          <w:tcPr>
            <w:tcW w:w="1432" w:type="dxa"/>
            <w:tcBorders>
              <w:top w:val="nil"/>
              <w:left w:val="nil"/>
              <w:bottom w:val="nil"/>
              <w:right w:val="nil"/>
            </w:tcBorders>
            <w:shd w:val="clear" w:color="000000" w:fill="FFFFFF"/>
            <w:noWrap/>
            <w:vAlign w:val="bottom"/>
            <w:hideMark/>
          </w:tcPr>
          <w:p w:rsidR="009659CB" w:rsidRPr="00BB45EB" w:rsidRDefault="0078416E" w:rsidP="00BB45EB">
            <w:pPr>
              <w:jc w:val="right"/>
              <w:rPr>
                <w:rFonts w:ascii="Calibri" w:hAnsi="Calibri"/>
                <w:color w:val="000000"/>
              </w:rPr>
            </w:pPr>
            <w:r>
              <w:rPr>
                <w:rFonts w:ascii="Calibri" w:hAnsi="Calibri"/>
                <w:bCs/>
                <w:color w:val="000000"/>
                <w:lang w:val="sr-Latn-BA" w:eastAsia="sr-Latn-BA"/>
              </w:rPr>
              <w:t>(</w:t>
            </w:r>
            <w:r w:rsidR="0061007F">
              <w:rPr>
                <w:rFonts w:ascii="Calibri" w:hAnsi="Calibri"/>
                <w:bCs/>
                <w:color w:val="000000"/>
                <w:lang w:val="sr-Latn-BA" w:eastAsia="sr-Latn-BA"/>
              </w:rPr>
              <w:t>22.794</w:t>
            </w:r>
            <w:r>
              <w:rPr>
                <w:rFonts w:ascii="Calibri" w:hAnsi="Calibri"/>
                <w:bCs/>
                <w:color w:val="000000"/>
                <w:lang w:val="sr-Latn-BA" w:eastAsia="sr-Latn-BA"/>
              </w:rPr>
              <w:t>)</w:t>
            </w:r>
            <w:r w:rsidR="009659CB" w:rsidRPr="00BB45EB">
              <w:rPr>
                <w:rFonts w:ascii="Calibri" w:hAnsi="Calibri"/>
                <w:color w:val="000000"/>
                <w:lang w:val="sr-Latn-BA" w:eastAsia="sr-Latn-BA"/>
              </w:rPr>
              <w:t xml:space="preserve">                 </w:t>
            </w:r>
            <w:r w:rsidR="00F71AA5" w:rsidRPr="00BB45EB">
              <w:rPr>
                <w:rFonts w:ascii="Calibri" w:hAnsi="Calibri"/>
                <w:color w:val="000000"/>
              </w:rPr>
              <w:t xml:space="preserve"> </w:t>
            </w:r>
          </w:p>
        </w:tc>
      </w:tr>
      <w:tr w:rsidR="00BB3F91" w:rsidRPr="0042069D" w:rsidTr="00BB3F91">
        <w:trPr>
          <w:trHeight w:val="310"/>
        </w:trPr>
        <w:tc>
          <w:tcPr>
            <w:tcW w:w="5160" w:type="dxa"/>
            <w:tcBorders>
              <w:top w:val="nil"/>
              <w:left w:val="nil"/>
              <w:bottom w:val="nil"/>
              <w:right w:val="nil"/>
            </w:tcBorders>
            <w:shd w:val="clear" w:color="000000" w:fill="FFFFFF"/>
            <w:noWrap/>
            <w:vAlign w:val="bottom"/>
            <w:hideMark/>
          </w:tcPr>
          <w:p w:rsidR="00BB3F91" w:rsidRPr="0042069D" w:rsidRDefault="00BB3F91" w:rsidP="0042069D">
            <w:pPr>
              <w:rPr>
                <w:rFonts w:ascii="Calibri" w:hAnsi="Calibri"/>
                <w:color w:val="000000"/>
                <w:lang w:val="sr-Latn-BA" w:eastAsia="sr-Latn-BA"/>
              </w:rPr>
            </w:pPr>
            <w:r>
              <w:rPr>
                <w:rFonts w:ascii="Calibri" w:hAnsi="Calibri"/>
                <w:color w:val="000000"/>
                <w:lang w:val="sr-Latn-BA" w:eastAsia="sr-Latn-BA"/>
              </w:rPr>
              <w:t xml:space="preserve">Prosječan ponderisan broj izdatih udjela </w:t>
            </w:r>
          </w:p>
        </w:tc>
        <w:tc>
          <w:tcPr>
            <w:tcW w:w="2040" w:type="dxa"/>
            <w:tcBorders>
              <w:top w:val="nil"/>
              <w:left w:val="nil"/>
              <w:bottom w:val="nil"/>
              <w:right w:val="nil"/>
            </w:tcBorders>
            <w:shd w:val="clear" w:color="000000" w:fill="FFFFFF"/>
            <w:noWrap/>
            <w:vAlign w:val="bottom"/>
            <w:hideMark/>
          </w:tcPr>
          <w:p w:rsidR="00BB3F91" w:rsidRPr="00C6368C" w:rsidRDefault="00333EE5" w:rsidP="009154E1">
            <w:pPr>
              <w:jc w:val="right"/>
              <w:rPr>
                <w:rFonts w:ascii="Calibri" w:hAnsi="Calibri"/>
                <w:color w:val="000000"/>
                <w:highlight w:val="yellow"/>
              </w:rPr>
            </w:pPr>
            <w:r w:rsidRPr="00333EE5">
              <w:rPr>
                <w:rFonts w:ascii="Calibri" w:hAnsi="Calibri"/>
                <w:color w:val="000000"/>
              </w:rPr>
              <w:t>70.020.770</w:t>
            </w:r>
          </w:p>
        </w:tc>
        <w:tc>
          <w:tcPr>
            <w:tcW w:w="1432" w:type="dxa"/>
            <w:tcBorders>
              <w:top w:val="nil"/>
              <w:left w:val="nil"/>
              <w:bottom w:val="nil"/>
              <w:right w:val="nil"/>
            </w:tcBorders>
            <w:shd w:val="clear" w:color="000000" w:fill="FFFFFF"/>
            <w:noWrap/>
            <w:vAlign w:val="bottom"/>
            <w:hideMark/>
          </w:tcPr>
          <w:p w:rsidR="00BB3F91" w:rsidRPr="00333EE5" w:rsidRDefault="00333EE5" w:rsidP="00BB45EB">
            <w:pPr>
              <w:jc w:val="right"/>
              <w:rPr>
                <w:rFonts w:ascii="Calibri" w:hAnsi="Calibri"/>
                <w:color w:val="000000"/>
                <w:lang w:val="sr-Latn-BA" w:eastAsia="sr-Latn-BA"/>
              </w:rPr>
            </w:pPr>
            <w:r w:rsidRPr="00333EE5">
              <w:rPr>
                <w:rFonts w:ascii="Calibri" w:hAnsi="Calibri"/>
                <w:color w:val="000000"/>
                <w:lang w:val="sr-Latn-BA" w:eastAsia="sr-Latn-BA"/>
              </w:rPr>
              <w:t>129.464.659</w:t>
            </w:r>
          </w:p>
        </w:tc>
      </w:tr>
      <w:tr w:rsidR="00BB3F91" w:rsidRPr="0042069D" w:rsidTr="00BB3F91">
        <w:trPr>
          <w:trHeight w:val="370"/>
        </w:trPr>
        <w:tc>
          <w:tcPr>
            <w:tcW w:w="5160" w:type="dxa"/>
            <w:tcBorders>
              <w:top w:val="nil"/>
              <w:left w:val="nil"/>
              <w:bottom w:val="nil"/>
              <w:right w:val="nil"/>
            </w:tcBorders>
            <w:shd w:val="clear" w:color="000000" w:fill="FFFFFF"/>
            <w:noWrap/>
            <w:vAlign w:val="bottom"/>
            <w:hideMark/>
          </w:tcPr>
          <w:p w:rsidR="00BB3F91" w:rsidRPr="0042069D" w:rsidRDefault="00BB3F91" w:rsidP="0042069D">
            <w:pPr>
              <w:rPr>
                <w:rFonts w:ascii="Calibri" w:hAnsi="Calibri"/>
                <w:b/>
                <w:bCs/>
                <w:color w:val="000000"/>
                <w:lang w:val="sr-Latn-BA" w:eastAsia="sr-Latn-BA"/>
              </w:rPr>
            </w:pPr>
            <w:r>
              <w:rPr>
                <w:rFonts w:ascii="Calibri" w:hAnsi="Calibri"/>
                <w:b/>
                <w:bCs/>
                <w:color w:val="000000"/>
                <w:lang w:val="sr-Latn-BA" w:eastAsia="sr-Latn-BA"/>
              </w:rPr>
              <w:t>Obična zara</w:t>
            </w:r>
            <w:r w:rsidRPr="0042069D">
              <w:rPr>
                <w:rFonts w:ascii="Calibri" w:hAnsi="Calibri"/>
                <w:b/>
                <w:bCs/>
                <w:color w:val="000000"/>
                <w:lang w:val="sr-Latn-BA" w:eastAsia="sr-Latn-BA"/>
              </w:rPr>
              <w:t>da po udjelu za godinu</w:t>
            </w:r>
            <w:r>
              <w:rPr>
                <w:rFonts w:ascii="Calibri" w:hAnsi="Calibri"/>
                <w:b/>
                <w:bCs/>
                <w:color w:val="000000"/>
                <w:lang w:val="sr-Latn-BA" w:eastAsia="sr-Latn-BA"/>
              </w:rPr>
              <w:t xml:space="preserve">                      </w:t>
            </w:r>
          </w:p>
        </w:tc>
        <w:tc>
          <w:tcPr>
            <w:tcW w:w="2040" w:type="dxa"/>
            <w:tcBorders>
              <w:top w:val="nil"/>
              <w:left w:val="nil"/>
              <w:bottom w:val="nil"/>
              <w:right w:val="nil"/>
            </w:tcBorders>
            <w:shd w:val="clear" w:color="000000" w:fill="FFFFFF"/>
            <w:noWrap/>
            <w:vAlign w:val="bottom"/>
            <w:hideMark/>
          </w:tcPr>
          <w:p w:rsidR="00BB3F91" w:rsidRDefault="00452826" w:rsidP="000A4F0D">
            <w:pPr>
              <w:jc w:val="right"/>
              <w:rPr>
                <w:rFonts w:ascii="Calibri" w:hAnsi="Calibri"/>
                <w:b/>
                <w:bCs/>
                <w:color w:val="000000"/>
                <w:u w:val="single"/>
              </w:rPr>
            </w:pPr>
            <w:r>
              <w:rPr>
                <w:rFonts w:ascii="Calibri" w:hAnsi="Calibri"/>
                <w:b/>
                <w:bCs/>
                <w:color w:val="000000"/>
                <w:u w:val="single"/>
              </w:rPr>
              <w:t xml:space="preserve">         </w:t>
            </w:r>
            <w:r w:rsidR="0061007F">
              <w:rPr>
                <w:rFonts w:ascii="Calibri" w:hAnsi="Calibri"/>
                <w:b/>
                <w:bCs/>
                <w:color w:val="000000"/>
                <w:u w:val="single"/>
              </w:rPr>
              <w:t xml:space="preserve">        (</w:t>
            </w:r>
            <w:r w:rsidR="004720D7">
              <w:rPr>
                <w:rFonts w:ascii="Calibri" w:hAnsi="Calibri"/>
                <w:b/>
                <w:bCs/>
                <w:color w:val="000000"/>
                <w:u w:val="single"/>
              </w:rPr>
              <w:t>0,0</w:t>
            </w:r>
            <w:r w:rsidR="0061007F">
              <w:rPr>
                <w:rFonts w:ascii="Calibri" w:hAnsi="Calibri"/>
                <w:b/>
                <w:bCs/>
                <w:color w:val="000000"/>
                <w:u w:val="single"/>
              </w:rPr>
              <w:t>003)</w:t>
            </w:r>
            <w:r w:rsidR="00BB3F91">
              <w:rPr>
                <w:rFonts w:ascii="Calibri" w:hAnsi="Calibri"/>
                <w:b/>
                <w:bCs/>
                <w:color w:val="000000"/>
                <w:u w:val="single"/>
              </w:rPr>
              <w:t xml:space="preserve">       </w:t>
            </w:r>
          </w:p>
        </w:tc>
        <w:tc>
          <w:tcPr>
            <w:tcW w:w="1432" w:type="dxa"/>
            <w:tcBorders>
              <w:top w:val="nil"/>
              <w:left w:val="nil"/>
              <w:bottom w:val="nil"/>
              <w:right w:val="nil"/>
            </w:tcBorders>
            <w:shd w:val="clear" w:color="000000" w:fill="FFFFFF"/>
            <w:noWrap/>
            <w:vAlign w:val="bottom"/>
            <w:hideMark/>
          </w:tcPr>
          <w:p w:rsidR="00BB3F91" w:rsidRPr="0042069D" w:rsidRDefault="0078416E" w:rsidP="009154E1">
            <w:pPr>
              <w:jc w:val="right"/>
              <w:rPr>
                <w:rFonts w:ascii="Calibri" w:hAnsi="Calibri"/>
                <w:b/>
                <w:bCs/>
                <w:color w:val="000000"/>
                <w:u w:val="single"/>
                <w:lang w:val="sr-Latn-BA" w:eastAsia="sr-Latn-BA"/>
              </w:rPr>
            </w:pPr>
            <w:r>
              <w:rPr>
                <w:rFonts w:ascii="Calibri" w:hAnsi="Calibri"/>
                <w:b/>
                <w:bCs/>
                <w:color w:val="000000"/>
                <w:u w:val="single"/>
              </w:rPr>
              <w:t>(</w:t>
            </w:r>
            <w:r w:rsidR="00BB45EB">
              <w:rPr>
                <w:rFonts w:ascii="Calibri" w:hAnsi="Calibri"/>
                <w:b/>
                <w:bCs/>
                <w:color w:val="000000"/>
                <w:u w:val="single"/>
              </w:rPr>
              <w:t>0,0</w:t>
            </w:r>
            <w:r w:rsidR="006C08F6">
              <w:rPr>
                <w:rFonts w:ascii="Calibri" w:hAnsi="Calibri"/>
                <w:b/>
                <w:bCs/>
                <w:color w:val="000000"/>
                <w:u w:val="single"/>
              </w:rPr>
              <w:t>00</w:t>
            </w:r>
            <w:r w:rsidR="00BB45EB">
              <w:rPr>
                <w:rFonts w:ascii="Calibri" w:hAnsi="Calibri"/>
                <w:b/>
                <w:bCs/>
                <w:color w:val="000000"/>
                <w:u w:val="single"/>
              </w:rPr>
              <w:t>2</w:t>
            </w:r>
            <w:r>
              <w:rPr>
                <w:rFonts w:ascii="Calibri" w:hAnsi="Calibri"/>
                <w:b/>
                <w:bCs/>
                <w:color w:val="000000"/>
                <w:u w:val="single"/>
              </w:rPr>
              <w:t>)</w:t>
            </w:r>
            <w:r w:rsidR="00BB3F91">
              <w:rPr>
                <w:rFonts w:ascii="Calibri" w:hAnsi="Calibri"/>
                <w:b/>
                <w:bCs/>
                <w:color w:val="000000"/>
                <w:u w:val="single"/>
              </w:rPr>
              <w:t xml:space="preserve">      </w:t>
            </w:r>
          </w:p>
        </w:tc>
      </w:tr>
      <w:tr w:rsidR="00BB3F91" w:rsidRPr="0042069D" w:rsidTr="00BB3F91">
        <w:trPr>
          <w:trHeight w:val="290"/>
        </w:trPr>
        <w:tc>
          <w:tcPr>
            <w:tcW w:w="5160" w:type="dxa"/>
            <w:tcBorders>
              <w:top w:val="nil"/>
              <w:left w:val="nil"/>
              <w:bottom w:val="nil"/>
              <w:right w:val="nil"/>
            </w:tcBorders>
            <w:shd w:val="clear" w:color="auto" w:fill="auto"/>
            <w:noWrap/>
            <w:vAlign w:val="bottom"/>
            <w:hideMark/>
          </w:tcPr>
          <w:p w:rsidR="00BB3F91" w:rsidRPr="0042069D" w:rsidRDefault="00BB3F91" w:rsidP="0042069D">
            <w:pPr>
              <w:rPr>
                <w:rFonts w:ascii="Calibri" w:hAnsi="Calibri"/>
                <w:color w:val="000000"/>
                <w:sz w:val="22"/>
                <w:szCs w:val="22"/>
                <w:lang w:val="sr-Latn-BA" w:eastAsia="sr-Latn-BA"/>
              </w:rPr>
            </w:pPr>
          </w:p>
        </w:tc>
        <w:tc>
          <w:tcPr>
            <w:tcW w:w="2040" w:type="dxa"/>
            <w:tcBorders>
              <w:top w:val="nil"/>
              <w:left w:val="nil"/>
              <w:bottom w:val="nil"/>
              <w:right w:val="nil"/>
            </w:tcBorders>
            <w:shd w:val="clear" w:color="auto" w:fill="auto"/>
            <w:noWrap/>
            <w:vAlign w:val="bottom"/>
            <w:hideMark/>
          </w:tcPr>
          <w:p w:rsidR="00BB3F91" w:rsidRDefault="00BB3F91">
            <w:pPr>
              <w:rPr>
                <w:rFonts w:ascii="Calibri" w:hAnsi="Calibri"/>
                <w:color w:val="000000"/>
                <w:sz w:val="22"/>
                <w:szCs w:val="22"/>
              </w:rPr>
            </w:pPr>
          </w:p>
        </w:tc>
        <w:tc>
          <w:tcPr>
            <w:tcW w:w="1432" w:type="dxa"/>
            <w:tcBorders>
              <w:top w:val="nil"/>
              <w:left w:val="nil"/>
              <w:bottom w:val="nil"/>
              <w:right w:val="nil"/>
            </w:tcBorders>
            <w:shd w:val="clear" w:color="auto" w:fill="auto"/>
            <w:noWrap/>
            <w:vAlign w:val="bottom"/>
            <w:hideMark/>
          </w:tcPr>
          <w:p w:rsidR="00BB3F91" w:rsidRPr="0042069D" w:rsidRDefault="00BB3F91" w:rsidP="0042069D">
            <w:pPr>
              <w:rPr>
                <w:rFonts w:ascii="Calibri" w:hAnsi="Calibri"/>
                <w:color w:val="000000"/>
                <w:sz w:val="22"/>
                <w:szCs w:val="22"/>
                <w:lang w:val="sr-Latn-BA" w:eastAsia="sr-Latn-BA"/>
              </w:rPr>
            </w:pPr>
          </w:p>
        </w:tc>
      </w:tr>
    </w:tbl>
    <w:p w:rsidR="00CE6D8A" w:rsidRPr="00A47E7E" w:rsidRDefault="00CE6D8A" w:rsidP="00CE6D8A">
      <w:pPr>
        <w:pStyle w:val="ListParagraph"/>
        <w:rPr>
          <w:rFonts w:ascii="Calibri" w:hAnsi="Calibri" w:cs="Calibri"/>
          <w:b/>
          <w:noProof/>
        </w:rPr>
      </w:pPr>
    </w:p>
    <w:p w:rsidR="009832DC" w:rsidRPr="00A47E7E" w:rsidRDefault="00CE6D8A" w:rsidP="00F014B7">
      <w:pPr>
        <w:pStyle w:val="Heading1"/>
        <w:rPr>
          <w:rFonts w:ascii="Calibri" w:hAnsi="Calibri" w:cs="Calibri"/>
          <w:noProof/>
          <w:sz w:val="24"/>
          <w:szCs w:val="24"/>
        </w:rPr>
      </w:pPr>
      <w:bookmarkStart w:id="33" w:name="_Toc64534461"/>
      <w:r w:rsidRPr="00A47E7E">
        <w:rPr>
          <w:rFonts w:ascii="Calibri" w:hAnsi="Calibri" w:cs="Calibri"/>
          <w:noProof/>
          <w:sz w:val="24"/>
          <w:szCs w:val="24"/>
        </w:rPr>
        <w:t>TRANSAKCIJE SA POVEZANIM LICIMA</w:t>
      </w:r>
      <w:bookmarkEnd w:id="33"/>
    </w:p>
    <w:p w:rsidR="009832DC" w:rsidRPr="00A47E7E" w:rsidRDefault="009832DC" w:rsidP="009832DC">
      <w:pPr>
        <w:tabs>
          <w:tab w:val="left" w:pos="-1440"/>
          <w:tab w:val="left" w:pos="-720"/>
          <w:tab w:val="left" w:pos="538"/>
          <w:tab w:val="left" w:pos="709"/>
          <w:tab w:val="left" w:pos="889"/>
          <w:tab w:val="left" w:pos="1094"/>
          <w:tab w:val="left" w:pos="2100"/>
        </w:tabs>
        <w:suppressAutoHyphens/>
        <w:jc w:val="both"/>
        <w:rPr>
          <w:rFonts w:ascii="Calibri" w:hAnsi="Calibri" w:cs="Calibri"/>
          <w:noProof/>
          <w:lang w:val="sr-Latn-CS"/>
        </w:rPr>
      </w:pPr>
      <w:r w:rsidRPr="00A47E7E">
        <w:rPr>
          <w:rFonts w:ascii="Calibri" w:hAnsi="Calibri" w:cs="Calibri"/>
          <w:noProof/>
          <w:lang w:val="sr-Latn-CS"/>
        </w:rPr>
        <w:t>Sljedeća salda troškova i obaveza su proizašla iz transakcija obavljenih sa povezanim licima:</w:t>
      </w:r>
    </w:p>
    <w:p w:rsidR="009832DC" w:rsidRPr="00A47E7E" w:rsidRDefault="009832DC" w:rsidP="009832DC">
      <w:pPr>
        <w:tabs>
          <w:tab w:val="left" w:pos="-1440"/>
          <w:tab w:val="left" w:pos="-720"/>
          <w:tab w:val="left" w:pos="1094"/>
          <w:tab w:val="left" w:pos="4514"/>
          <w:tab w:val="right" w:pos="5472"/>
          <w:tab w:val="left" w:pos="5677"/>
          <w:tab w:val="right" w:pos="6635"/>
          <w:tab w:val="left" w:pos="6840"/>
          <w:tab w:val="right" w:pos="7729"/>
          <w:tab w:val="left" w:pos="7934"/>
          <w:tab w:val="right" w:pos="8960"/>
        </w:tabs>
        <w:rPr>
          <w:rFonts w:ascii="Calibri" w:hAnsi="Calibri" w:cs="Calibri"/>
          <w:b/>
          <w:noProof/>
        </w:rPr>
      </w:pPr>
    </w:p>
    <w:tbl>
      <w:tblPr>
        <w:tblW w:w="9424" w:type="dxa"/>
        <w:tblInd w:w="99" w:type="dxa"/>
        <w:tblLook w:val="04A0" w:firstRow="1" w:lastRow="0" w:firstColumn="1" w:lastColumn="0" w:noHBand="0" w:noVBand="1"/>
      </w:tblPr>
      <w:tblGrid>
        <w:gridCol w:w="6264"/>
        <w:gridCol w:w="1896"/>
        <w:gridCol w:w="1264"/>
      </w:tblGrid>
      <w:tr w:rsidR="0042069D" w:rsidRPr="0042069D" w:rsidTr="0042069D">
        <w:trPr>
          <w:trHeight w:val="310"/>
        </w:trPr>
        <w:tc>
          <w:tcPr>
            <w:tcW w:w="6264" w:type="dxa"/>
            <w:tcBorders>
              <w:top w:val="nil"/>
              <w:left w:val="nil"/>
              <w:bottom w:val="nil"/>
              <w:right w:val="nil"/>
            </w:tcBorders>
            <w:shd w:val="clear" w:color="000000" w:fill="FFFFFF"/>
            <w:noWrap/>
            <w:vAlign w:val="bottom"/>
            <w:hideMark/>
          </w:tcPr>
          <w:p w:rsidR="0042069D" w:rsidRPr="0042069D" w:rsidRDefault="0042069D" w:rsidP="0042069D">
            <w:pPr>
              <w:rPr>
                <w:rFonts w:ascii="Calibri" w:hAnsi="Calibri"/>
                <w:b/>
                <w:bCs/>
                <w:color w:val="000000"/>
                <w:lang w:val="sr-Latn-BA" w:eastAsia="sr-Latn-BA"/>
              </w:rPr>
            </w:pPr>
            <w:r w:rsidRPr="0042069D">
              <w:rPr>
                <w:rFonts w:ascii="Calibri" w:hAnsi="Calibri"/>
                <w:b/>
                <w:bCs/>
                <w:color w:val="000000"/>
                <w:lang w:val="sr-Latn-BA" w:eastAsia="sr-Latn-BA"/>
              </w:rPr>
              <w:t xml:space="preserve">BILANS USPJEHA INVESTICIONOG FONDA </w:t>
            </w:r>
          </w:p>
        </w:tc>
        <w:tc>
          <w:tcPr>
            <w:tcW w:w="1896" w:type="dxa"/>
            <w:tcBorders>
              <w:top w:val="nil"/>
              <w:left w:val="nil"/>
              <w:bottom w:val="nil"/>
              <w:right w:val="nil"/>
            </w:tcBorders>
            <w:shd w:val="clear" w:color="000000" w:fill="FFFFFF"/>
            <w:noWrap/>
            <w:vAlign w:val="bottom"/>
            <w:hideMark/>
          </w:tcPr>
          <w:p w:rsidR="0042069D" w:rsidRPr="0042069D" w:rsidRDefault="0042069D" w:rsidP="00121128">
            <w:pPr>
              <w:rPr>
                <w:rFonts w:ascii="Calibri" w:hAnsi="Calibri"/>
                <w:b/>
                <w:bCs/>
                <w:color w:val="000000"/>
                <w:lang w:val="sr-Latn-BA" w:eastAsia="sr-Latn-BA"/>
              </w:rPr>
            </w:pPr>
            <w:r w:rsidRPr="0042069D">
              <w:rPr>
                <w:rFonts w:ascii="Calibri" w:hAnsi="Calibri"/>
                <w:b/>
                <w:bCs/>
                <w:color w:val="000000"/>
                <w:lang w:val="sr-Latn-BA" w:eastAsia="sr-Latn-BA"/>
              </w:rPr>
              <w:t>20</w:t>
            </w:r>
            <w:r w:rsidR="005C62C3">
              <w:rPr>
                <w:rFonts w:ascii="Calibri" w:hAnsi="Calibri"/>
                <w:b/>
                <w:bCs/>
                <w:color w:val="000000"/>
                <w:lang w:val="sr-Latn-BA" w:eastAsia="sr-Latn-BA"/>
              </w:rPr>
              <w:t>2</w:t>
            </w:r>
            <w:r w:rsidR="00C6368C">
              <w:rPr>
                <w:rFonts w:ascii="Calibri" w:hAnsi="Calibri"/>
                <w:b/>
                <w:bCs/>
                <w:color w:val="000000"/>
                <w:lang w:val="sr-Latn-BA" w:eastAsia="sr-Latn-BA"/>
              </w:rPr>
              <w:t>1</w:t>
            </w:r>
          </w:p>
        </w:tc>
        <w:tc>
          <w:tcPr>
            <w:tcW w:w="1264" w:type="dxa"/>
            <w:tcBorders>
              <w:top w:val="nil"/>
              <w:left w:val="nil"/>
              <w:bottom w:val="nil"/>
              <w:right w:val="nil"/>
            </w:tcBorders>
            <w:shd w:val="clear" w:color="000000" w:fill="FFFFFF"/>
            <w:noWrap/>
            <w:vAlign w:val="bottom"/>
            <w:hideMark/>
          </w:tcPr>
          <w:p w:rsidR="0042069D" w:rsidRPr="0042069D" w:rsidRDefault="0042069D" w:rsidP="00121128">
            <w:pPr>
              <w:rPr>
                <w:rFonts w:ascii="Calibri" w:hAnsi="Calibri"/>
                <w:b/>
                <w:bCs/>
                <w:color w:val="000000"/>
                <w:lang w:val="sr-Latn-BA" w:eastAsia="sr-Latn-BA"/>
              </w:rPr>
            </w:pPr>
            <w:r w:rsidRPr="0042069D">
              <w:rPr>
                <w:rFonts w:ascii="Calibri" w:hAnsi="Calibri"/>
                <w:b/>
                <w:bCs/>
                <w:color w:val="000000"/>
                <w:lang w:val="sr-Latn-BA" w:eastAsia="sr-Latn-BA"/>
              </w:rPr>
              <w:t>20</w:t>
            </w:r>
            <w:r w:rsidR="00C6368C">
              <w:rPr>
                <w:rFonts w:ascii="Calibri" w:hAnsi="Calibri"/>
                <w:b/>
                <w:bCs/>
                <w:color w:val="000000"/>
                <w:lang w:val="sr-Latn-BA" w:eastAsia="sr-Latn-BA"/>
              </w:rPr>
              <w:t>20</w:t>
            </w:r>
          </w:p>
        </w:tc>
      </w:tr>
      <w:tr w:rsidR="0042069D" w:rsidRPr="0042069D" w:rsidTr="0042069D">
        <w:trPr>
          <w:trHeight w:val="310"/>
        </w:trPr>
        <w:tc>
          <w:tcPr>
            <w:tcW w:w="6264" w:type="dxa"/>
            <w:tcBorders>
              <w:top w:val="nil"/>
              <w:left w:val="nil"/>
              <w:bottom w:val="nil"/>
              <w:right w:val="nil"/>
            </w:tcBorders>
            <w:shd w:val="clear" w:color="000000" w:fill="FFFFFF"/>
            <w:noWrap/>
            <w:vAlign w:val="bottom"/>
            <w:hideMark/>
          </w:tcPr>
          <w:p w:rsidR="0042069D" w:rsidRPr="0042069D" w:rsidRDefault="0042069D" w:rsidP="0042069D">
            <w:pPr>
              <w:rPr>
                <w:rFonts w:ascii="Calibri" w:hAnsi="Calibri"/>
                <w:color w:val="000000"/>
                <w:lang w:val="sr-Latn-BA" w:eastAsia="sr-Latn-BA"/>
              </w:rPr>
            </w:pPr>
            <w:r w:rsidRPr="0042069D">
              <w:rPr>
                <w:rFonts w:ascii="Calibri" w:hAnsi="Calibri"/>
                <w:color w:val="000000"/>
                <w:lang w:val="sr-Latn-BA" w:eastAsia="sr-Latn-BA"/>
              </w:rPr>
              <w:t>RASHODI</w:t>
            </w:r>
          </w:p>
        </w:tc>
        <w:tc>
          <w:tcPr>
            <w:tcW w:w="1896" w:type="dxa"/>
            <w:tcBorders>
              <w:top w:val="nil"/>
              <w:left w:val="nil"/>
              <w:bottom w:val="nil"/>
              <w:right w:val="nil"/>
            </w:tcBorders>
            <w:shd w:val="clear" w:color="000000" w:fill="FFFFFF"/>
            <w:noWrap/>
            <w:vAlign w:val="bottom"/>
            <w:hideMark/>
          </w:tcPr>
          <w:p w:rsidR="0042069D" w:rsidRPr="0042069D" w:rsidRDefault="0042069D" w:rsidP="0042069D">
            <w:pPr>
              <w:rPr>
                <w:rFonts w:ascii="Calibri" w:hAnsi="Calibri"/>
                <w:b/>
                <w:bCs/>
                <w:color w:val="000000"/>
                <w:lang w:val="sr-Latn-BA" w:eastAsia="sr-Latn-BA"/>
              </w:rPr>
            </w:pPr>
            <w:r w:rsidRPr="0042069D">
              <w:rPr>
                <w:rFonts w:ascii="Calibri" w:hAnsi="Calibri"/>
                <w:b/>
                <w:bCs/>
                <w:color w:val="000000"/>
                <w:lang w:val="sr-Latn-BA" w:eastAsia="sr-Latn-BA"/>
              </w:rPr>
              <w:t> </w:t>
            </w:r>
          </w:p>
        </w:tc>
        <w:tc>
          <w:tcPr>
            <w:tcW w:w="1264" w:type="dxa"/>
            <w:tcBorders>
              <w:top w:val="nil"/>
              <w:left w:val="nil"/>
              <w:bottom w:val="nil"/>
              <w:right w:val="nil"/>
            </w:tcBorders>
            <w:shd w:val="clear" w:color="000000" w:fill="FFFFFF"/>
            <w:noWrap/>
            <w:vAlign w:val="bottom"/>
            <w:hideMark/>
          </w:tcPr>
          <w:p w:rsidR="0042069D" w:rsidRPr="0042069D" w:rsidRDefault="0042069D" w:rsidP="0042069D">
            <w:pPr>
              <w:rPr>
                <w:rFonts w:ascii="Calibri" w:hAnsi="Calibri"/>
                <w:b/>
                <w:bCs/>
                <w:color w:val="000000"/>
                <w:lang w:val="sr-Latn-BA" w:eastAsia="sr-Latn-BA"/>
              </w:rPr>
            </w:pPr>
            <w:r w:rsidRPr="0042069D">
              <w:rPr>
                <w:rFonts w:ascii="Calibri" w:hAnsi="Calibri"/>
                <w:b/>
                <w:bCs/>
                <w:color w:val="000000"/>
                <w:lang w:val="sr-Latn-BA" w:eastAsia="sr-Latn-BA"/>
              </w:rPr>
              <w:t> </w:t>
            </w:r>
          </w:p>
        </w:tc>
      </w:tr>
      <w:tr w:rsidR="0042069D" w:rsidRPr="0042069D" w:rsidTr="0061007F">
        <w:trPr>
          <w:trHeight w:val="360"/>
        </w:trPr>
        <w:tc>
          <w:tcPr>
            <w:tcW w:w="6264" w:type="dxa"/>
            <w:tcBorders>
              <w:top w:val="nil"/>
              <w:left w:val="nil"/>
              <w:bottom w:val="nil"/>
              <w:right w:val="nil"/>
            </w:tcBorders>
            <w:shd w:val="clear" w:color="000000" w:fill="FFFFFF"/>
            <w:vAlign w:val="center"/>
            <w:hideMark/>
          </w:tcPr>
          <w:p w:rsidR="0042069D" w:rsidRPr="0042069D" w:rsidRDefault="0042069D" w:rsidP="0042069D">
            <w:pPr>
              <w:rPr>
                <w:rFonts w:ascii="Calibri" w:hAnsi="Calibri"/>
                <w:color w:val="000000"/>
                <w:lang w:val="sr-Latn-BA" w:eastAsia="sr-Latn-BA"/>
              </w:rPr>
            </w:pPr>
            <w:r w:rsidRPr="0042069D">
              <w:rPr>
                <w:rFonts w:ascii="Calibri" w:hAnsi="Calibri"/>
                <w:color w:val="000000"/>
                <w:lang w:val="sr-Latn-BA" w:eastAsia="sr-Latn-BA"/>
              </w:rPr>
              <w:t xml:space="preserve">Rashodi od provizija za upravljanje Fondom- Kristal Invest ad </w:t>
            </w:r>
          </w:p>
        </w:tc>
        <w:tc>
          <w:tcPr>
            <w:tcW w:w="1896" w:type="dxa"/>
            <w:tcBorders>
              <w:top w:val="nil"/>
              <w:left w:val="nil"/>
              <w:bottom w:val="nil"/>
              <w:right w:val="nil"/>
            </w:tcBorders>
            <w:shd w:val="clear" w:color="000000" w:fill="FFFFFF"/>
            <w:noWrap/>
            <w:vAlign w:val="bottom"/>
            <w:hideMark/>
          </w:tcPr>
          <w:p w:rsidR="0042069D" w:rsidRPr="0042069D" w:rsidRDefault="009112EB" w:rsidP="004720D7">
            <w:pPr>
              <w:jc w:val="right"/>
              <w:rPr>
                <w:rFonts w:ascii="Calibri" w:hAnsi="Calibri"/>
                <w:color w:val="000000"/>
                <w:lang w:val="sr-Latn-BA" w:eastAsia="sr-Latn-BA"/>
              </w:rPr>
            </w:pPr>
            <w:r>
              <w:rPr>
                <w:rFonts w:ascii="Calibri" w:hAnsi="Calibri"/>
                <w:color w:val="000000"/>
                <w:lang w:val="sr-Latn-BA" w:eastAsia="sr-Latn-BA"/>
              </w:rPr>
              <w:t>15.006</w:t>
            </w:r>
            <w:r w:rsidR="0042069D" w:rsidRPr="0042069D">
              <w:rPr>
                <w:rFonts w:ascii="Calibri" w:hAnsi="Calibri"/>
                <w:color w:val="000000"/>
                <w:lang w:val="sr-Latn-BA" w:eastAsia="sr-Latn-BA"/>
              </w:rPr>
              <w:t xml:space="preserve">    </w:t>
            </w:r>
          </w:p>
        </w:tc>
        <w:tc>
          <w:tcPr>
            <w:tcW w:w="1264" w:type="dxa"/>
            <w:tcBorders>
              <w:top w:val="nil"/>
              <w:left w:val="nil"/>
              <w:bottom w:val="nil"/>
              <w:right w:val="nil"/>
            </w:tcBorders>
            <w:shd w:val="clear" w:color="auto" w:fill="auto"/>
            <w:noWrap/>
            <w:vAlign w:val="bottom"/>
            <w:hideMark/>
          </w:tcPr>
          <w:p w:rsidR="0042069D" w:rsidRPr="009112EB" w:rsidRDefault="0061007F" w:rsidP="0061007F">
            <w:pPr>
              <w:jc w:val="right"/>
              <w:rPr>
                <w:rFonts w:ascii="Calibri" w:hAnsi="Calibri"/>
                <w:color w:val="000000"/>
                <w:highlight w:val="yellow"/>
                <w:lang w:val="sr-Latn-BA" w:eastAsia="sr-Latn-BA"/>
              </w:rPr>
            </w:pPr>
            <w:r w:rsidRPr="0061007F">
              <w:rPr>
                <w:rFonts w:ascii="Calibri" w:hAnsi="Calibri"/>
                <w:color w:val="000000"/>
                <w:lang w:val="sr-Latn-BA" w:eastAsia="sr-Latn-BA"/>
              </w:rPr>
              <w:t>27.439</w:t>
            </w:r>
            <w:r w:rsidR="0042069D" w:rsidRPr="0061007F">
              <w:rPr>
                <w:rFonts w:ascii="Calibri" w:hAnsi="Calibri"/>
                <w:color w:val="000000"/>
                <w:lang w:val="sr-Latn-BA" w:eastAsia="sr-Latn-BA"/>
              </w:rPr>
              <w:t xml:space="preserve">                  </w:t>
            </w:r>
            <w:r w:rsidR="005C62C3" w:rsidRPr="0061007F">
              <w:rPr>
                <w:rFonts w:ascii="Calibri" w:hAnsi="Calibri"/>
                <w:color w:val="000000"/>
                <w:lang w:val="sr-Latn-BA" w:eastAsia="sr-Latn-BA"/>
              </w:rPr>
              <w:t xml:space="preserve">             </w:t>
            </w:r>
          </w:p>
        </w:tc>
      </w:tr>
      <w:tr w:rsidR="0042069D" w:rsidRPr="0042069D" w:rsidTr="0042069D">
        <w:trPr>
          <w:trHeight w:val="450"/>
        </w:trPr>
        <w:tc>
          <w:tcPr>
            <w:tcW w:w="6264" w:type="dxa"/>
            <w:tcBorders>
              <w:top w:val="nil"/>
              <w:left w:val="nil"/>
              <w:bottom w:val="nil"/>
              <w:right w:val="nil"/>
            </w:tcBorders>
            <w:shd w:val="clear" w:color="000000" w:fill="FFFFFF"/>
            <w:vAlign w:val="center"/>
            <w:hideMark/>
          </w:tcPr>
          <w:p w:rsidR="0042069D" w:rsidRPr="0042069D" w:rsidRDefault="0042069D" w:rsidP="0042069D">
            <w:pPr>
              <w:rPr>
                <w:rFonts w:ascii="Calibri" w:hAnsi="Calibri"/>
                <w:color w:val="000000"/>
                <w:lang w:val="sr-Latn-BA" w:eastAsia="sr-Latn-BA"/>
              </w:rPr>
            </w:pPr>
            <w:r w:rsidRPr="0042069D">
              <w:rPr>
                <w:rFonts w:ascii="Calibri" w:hAnsi="Calibri"/>
                <w:color w:val="000000"/>
                <w:lang w:val="sr-Latn-BA" w:eastAsia="sr-Latn-BA"/>
              </w:rPr>
              <w:t>Naknada depozitaru- Nova banka ad Banja Luka</w:t>
            </w:r>
          </w:p>
        </w:tc>
        <w:tc>
          <w:tcPr>
            <w:tcW w:w="1896" w:type="dxa"/>
            <w:tcBorders>
              <w:top w:val="nil"/>
              <w:left w:val="nil"/>
              <w:bottom w:val="nil"/>
              <w:right w:val="nil"/>
            </w:tcBorders>
            <w:shd w:val="clear" w:color="000000" w:fill="FFFFFF"/>
            <w:noWrap/>
            <w:vAlign w:val="bottom"/>
            <w:hideMark/>
          </w:tcPr>
          <w:p w:rsidR="0042069D" w:rsidRPr="0042069D" w:rsidRDefault="009154E1" w:rsidP="009112EB">
            <w:pPr>
              <w:jc w:val="right"/>
              <w:rPr>
                <w:rFonts w:ascii="Calibri" w:hAnsi="Calibri"/>
                <w:color w:val="000000"/>
                <w:lang w:val="sr-Latn-BA" w:eastAsia="sr-Latn-BA"/>
              </w:rPr>
            </w:pPr>
            <w:r>
              <w:rPr>
                <w:rFonts w:ascii="Calibri" w:hAnsi="Calibri"/>
                <w:color w:val="000000"/>
                <w:lang w:val="sr-Latn-BA" w:eastAsia="sr-Latn-BA"/>
              </w:rPr>
              <w:t xml:space="preserve">  </w:t>
            </w:r>
            <w:r w:rsidR="000426B7">
              <w:rPr>
                <w:rFonts w:ascii="Calibri" w:hAnsi="Calibri"/>
                <w:color w:val="000000"/>
                <w:lang w:val="sr-Latn-BA" w:eastAsia="sr-Latn-BA"/>
              </w:rPr>
              <w:t xml:space="preserve">                             </w:t>
            </w:r>
            <w:r w:rsidR="009112EB">
              <w:rPr>
                <w:rFonts w:ascii="Calibri" w:hAnsi="Calibri"/>
                <w:color w:val="000000"/>
                <w:lang w:val="sr-Latn-BA" w:eastAsia="sr-Latn-BA"/>
              </w:rPr>
              <w:t>915</w:t>
            </w:r>
            <w:r w:rsidR="0042069D" w:rsidRPr="0042069D">
              <w:rPr>
                <w:rFonts w:ascii="Calibri" w:hAnsi="Calibri"/>
                <w:color w:val="000000"/>
                <w:lang w:val="sr-Latn-BA" w:eastAsia="sr-Latn-BA"/>
              </w:rPr>
              <w:t xml:space="preserve">      </w:t>
            </w:r>
          </w:p>
        </w:tc>
        <w:tc>
          <w:tcPr>
            <w:tcW w:w="1264" w:type="dxa"/>
            <w:tcBorders>
              <w:top w:val="nil"/>
              <w:left w:val="nil"/>
              <w:bottom w:val="nil"/>
              <w:right w:val="nil"/>
            </w:tcBorders>
            <w:shd w:val="clear" w:color="000000" w:fill="FFFFFF"/>
            <w:noWrap/>
            <w:vAlign w:val="bottom"/>
            <w:hideMark/>
          </w:tcPr>
          <w:p w:rsidR="0042069D" w:rsidRPr="009112EB" w:rsidRDefault="0042069D" w:rsidP="0061007F">
            <w:pPr>
              <w:jc w:val="right"/>
              <w:rPr>
                <w:rFonts w:ascii="Calibri" w:hAnsi="Calibri"/>
                <w:color w:val="000000"/>
                <w:highlight w:val="yellow"/>
                <w:lang w:val="sr-Latn-BA" w:eastAsia="sr-Latn-BA"/>
              </w:rPr>
            </w:pPr>
            <w:r w:rsidRPr="009112EB">
              <w:rPr>
                <w:rFonts w:ascii="Calibri" w:hAnsi="Calibri"/>
                <w:color w:val="000000"/>
                <w:highlight w:val="yellow"/>
                <w:lang w:val="sr-Latn-BA" w:eastAsia="sr-Latn-BA"/>
              </w:rPr>
              <w:t xml:space="preserve">                  </w:t>
            </w:r>
            <w:r w:rsidR="0061007F" w:rsidRPr="0061007F">
              <w:rPr>
                <w:rFonts w:ascii="Calibri" w:hAnsi="Calibri"/>
                <w:color w:val="000000"/>
                <w:lang w:val="sr-Latn-BA" w:eastAsia="sr-Latn-BA"/>
              </w:rPr>
              <w:t>1.200</w:t>
            </w:r>
            <w:r w:rsidR="005C62C3" w:rsidRPr="0061007F">
              <w:rPr>
                <w:rFonts w:ascii="Calibri" w:hAnsi="Calibri"/>
                <w:color w:val="000000"/>
                <w:lang w:val="sr-Latn-BA" w:eastAsia="sr-Latn-BA"/>
              </w:rPr>
              <w:t xml:space="preserve">      </w:t>
            </w:r>
            <w:r w:rsidRPr="0061007F">
              <w:rPr>
                <w:rFonts w:ascii="Calibri" w:hAnsi="Calibri"/>
                <w:color w:val="000000"/>
                <w:lang w:val="sr-Latn-BA" w:eastAsia="sr-Latn-BA"/>
              </w:rPr>
              <w:t xml:space="preserve">      </w:t>
            </w:r>
          </w:p>
        </w:tc>
      </w:tr>
      <w:tr w:rsidR="0042069D" w:rsidRPr="0042069D" w:rsidTr="0042069D">
        <w:trPr>
          <w:trHeight w:val="310"/>
        </w:trPr>
        <w:tc>
          <w:tcPr>
            <w:tcW w:w="6264" w:type="dxa"/>
            <w:tcBorders>
              <w:top w:val="nil"/>
              <w:left w:val="nil"/>
              <w:bottom w:val="nil"/>
              <w:right w:val="nil"/>
            </w:tcBorders>
            <w:shd w:val="clear" w:color="000000" w:fill="FFFFFF"/>
            <w:noWrap/>
            <w:vAlign w:val="bottom"/>
            <w:hideMark/>
          </w:tcPr>
          <w:p w:rsidR="0042069D" w:rsidRPr="0042069D" w:rsidRDefault="0042069D" w:rsidP="0042069D">
            <w:pPr>
              <w:rPr>
                <w:rFonts w:ascii="Calibri" w:hAnsi="Calibri"/>
                <w:color w:val="000000"/>
                <w:lang w:val="sr-Latn-BA" w:eastAsia="sr-Latn-BA"/>
              </w:rPr>
            </w:pPr>
            <w:r w:rsidRPr="0042069D">
              <w:rPr>
                <w:rFonts w:ascii="Calibri" w:hAnsi="Calibri"/>
                <w:color w:val="000000"/>
                <w:lang w:val="sr-Latn-BA" w:eastAsia="sr-Latn-BA"/>
              </w:rPr>
              <w:t>Naknada komisiji - Komisija za hartije od vrijednosti Republike Srpske</w:t>
            </w:r>
          </w:p>
        </w:tc>
        <w:tc>
          <w:tcPr>
            <w:tcW w:w="1896" w:type="dxa"/>
            <w:tcBorders>
              <w:top w:val="nil"/>
              <w:left w:val="nil"/>
              <w:bottom w:val="nil"/>
              <w:right w:val="nil"/>
            </w:tcBorders>
            <w:shd w:val="clear" w:color="000000" w:fill="FFFFFF"/>
            <w:noWrap/>
            <w:vAlign w:val="bottom"/>
            <w:hideMark/>
          </w:tcPr>
          <w:p w:rsidR="0042069D" w:rsidRPr="0042069D" w:rsidRDefault="00443D60" w:rsidP="009112EB">
            <w:pPr>
              <w:jc w:val="right"/>
              <w:rPr>
                <w:rFonts w:ascii="Calibri" w:hAnsi="Calibri"/>
                <w:color w:val="000000"/>
                <w:lang w:val="sr-Latn-BA" w:eastAsia="sr-Latn-BA"/>
              </w:rPr>
            </w:pPr>
            <w:r>
              <w:rPr>
                <w:rFonts w:ascii="Calibri" w:hAnsi="Calibri"/>
                <w:color w:val="000000"/>
                <w:lang w:val="sr-Latn-BA" w:eastAsia="sr-Latn-BA"/>
              </w:rPr>
              <w:t xml:space="preserve">    </w:t>
            </w:r>
            <w:r w:rsidR="009154E1">
              <w:rPr>
                <w:rFonts w:ascii="Calibri" w:hAnsi="Calibri"/>
                <w:color w:val="000000"/>
                <w:lang w:val="sr-Latn-BA" w:eastAsia="sr-Latn-BA"/>
              </w:rPr>
              <w:t xml:space="preserve">                           </w:t>
            </w:r>
            <w:r w:rsidR="009112EB">
              <w:rPr>
                <w:rFonts w:ascii="Calibri" w:hAnsi="Calibri"/>
                <w:color w:val="000000"/>
                <w:lang w:val="sr-Latn-BA" w:eastAsia="sr-Latn-BA"/>
              </w:rPr>
              <w:t>54</w:t>
            </w:r>
            <w:r w:rsidR="0042069D" w:rsidRPr="0042069D">
              <w:rPr>
                <w:rFonts w:ascii="Calibri" w:hAnsi="Calibri"/>
                <w:color w:val="000000"/>
                <w:lang w:val="sr-Latn-BA" w:eastAsia="sr-Latn-BA"/>
              </w:rPr>
              <w:t xml:space="preserve">      </w:t>
            </w:r>
          </w:p>
        </w:tc>
        <w:tc>
          <w:tcPr>
            <w:tcW w:w="1264" w:type="dxa"/>
            <w:tcBorders>
              <w:top w:val="nil"/>
              <w:left w:val="nil"/>
              <w:bottom w:val="nil"/>
              <w:right w:val="nil"/>
            </w:tcBorders>
            <w:shd w:val="clear" w:color="000000" w:fill="FFFFFF"/>
            <w:noWrap/>
            <w:vAlign w:val="bottom"/>
            <w:hideMark/>
          </w:tcPr>
          <w:p w:rsidR="0042069D" w:rsidRPr="0061007F" w:rsidRDefault="0042069D" w:rsidP="0061007F">
            <w:pPr>
              <w:jc w:val="right"/>
              <w:rPr>
                <w:rFonts w:ascii="Calibri" w:hAnsi="Calibri"/>
                <w:color w:val="000000"/>
                <w:lang w:val="sr-Latn-BA" w:eastAsia="sr-Latn-BA"/>
              </w:rPr>
            </w:pPr>
            <w:r w:rsidRPr="0061007F">
              <w:rPr>
                <w:rFonts w:ascii="Calibri" w:hAnsi="Calibri"/>
                <w:color w:val="000000"/>
                <w:lang w:val="sr-Latn-BA" w:eastAsia="sr-Latn-BA"/>
              </w:rPr>
              <w:t xml:space="preserve">                  </w:t>
            </w:r>
            <w:r w:rsidR="0061007F" w:rsidRPr="0061007F">
              <w:rPr>
                <w:rFonts w:ascii="Calibri" w:hAnsi="Calibri"/>
                <w:color w:val="000000"/>
                <w:lang w:val="sr-Latn-BA" w:eastAsia="sr-Latn-BA"/>
              </w:rPr>
              <w:t>0</w:t>
            </w:r>
            <w:r w:rsidRPr="0061007F">
              <w:rPr>
                <w:rFonts w:ascii="Calibri" w:hAnsi="Calibri"/>
                <w:color w:val="000000"/>
                <w:lang w:val="sr-Latn-BA" w:eastAsia="sr-Latn-BA"/>
              </w:rPr>
              <w:t xml:space="preserve">      </w:t>
            </w:r>
          </w:p>
        </w:tc>
      </w:tr>
      <w:tr w:rsidR="0042069D" w:rsidRPr="0042069D" w:rsidTr="0042069D">
        <w:trPr>
          <w:trHeight w:val="310"/>
        </w:trPr>
        <w:tc>
          <w:tcPr>
            <w:tcW w:w="6264" w:type="dxa"/>
            <w:tcBorders>
              <w:top w:val="nil"/>
              <w:left w:val="nil"/>
              <w:bottom w:val="nil"/>
              <w:right w:val="nil"/>
            </w:tcBorders>
            <w:shd w:val="clear" w:color="000000" w:fill="FFFFFF"/>
            <w:noWrap/>
            <w:vAlign w:val="bottom"/>
            <w:hideMark/>
          </w:tcPr>
          <w:p w:rsidR="0042069D" w:rsidRPr="0042069D" w:rsidRDefault="0042069D" w:rsidP="0042069D">
            <w:pPr>
              <w:rPr>
                <w:rFonts w:ascii="Calibri" w:hAnsi="Calibri"/>
                <w:color w:val="000000"/>
                <w:lang w:val="sr-Latn-BA" w:eastAsia="sr-Latn-BA"/>
              </w:rPr>
            </w:pPr>
            <w:r w:rsidRPr="0042069D">
              <w:rPr>
                <w:rFonts w:ascii="Calibri" w:hAnsi="Calibri"/>
                <w:color w:val="000000"/>
                <w:lang w:val="sr-Latn-BA" w:eastAsia="sr-Latn-BA"/>
              </w:rPr>
              <w:t>Naknada revizoru- BDO doo Banja Luka</w:t>
            </w:r>
          </w:p>
        </w:tc>
        <w:tc>
          <w:tcPr>
            <w:tcW w:w="1896" w:type="dxa"/>
            <w:tcBorders>
              <w:top w:val="nil"/>
              <w:left w:val="nil"/>
              <w:bottom w:val="nil"/>
              <w:right w:val="nil"/>
            </w:tcBorders>
            <w:shd w:val="clear" w:color="000000" w:fill="FFFFFF"/>
            <w:noWrap/>
            <w:vAlign w:val="bottom"/>
            <w:hideMark/>
          </w:tcPr>
          <w:p w:rsidR="0042069D" w:rsidRPr="0042069D" w:rsidRDefault="009659CB" w:rsidP="004A4C21">
            <w:pPr>
              <w:jc w:val="right"/>
              <w:rPr>
                <w:rFonts w:ascii="Calibri" w:hAnsi="Calibri"/>
                <w:color w:val="000000"/>
                <w:lang w:val="sr-Latn-BA" w:eastAsia="sr-Latn-BA"/>
              </w:rPr>
            </w:pPr>
            <w:r>
              <w:rPr>
                <w:rFonts w:ascii="Calibri" w:hAnsi="Calibri"/>
                <w:color w:val="000000"/>
                <w:lang w:val="sr-Latn-BA" w:eastAsia="sr-Latn-BA"/>
              </w:rPr>
              <w:t xml:space="preserve">    </w:t>
            </w:r>
            <w:r w:rsidR="005C62C3">
              <w:rPr>
                <w:rFonts w:ascii="Calibri" w:hAnsi="Calibri"/>
                <w:color w:val="000000"/>
                <w:lang w:val="sr-Latn-BA" w:eastAsia="sr-Latn-BA"/>
              </w:rPr>
              <w:t xml:space="preserve">                           1.755</w:t>
            </w:r>
            <w:r w:rsidR="0042069D" w:rsidRPr="0042069D">
              <w:rPr>
                <w:rFonts w:ascii="Calibri" w:hAnsi="Calibri"/>
                <w:color w:val="000000"/>
                <w:lang w:val="sr-Latn-BA" w:eastAsia="sr-Latn-BA"/>
              </w:rPr>
              <w:t xml:space="preserve">      </w:t>
            </w:r>
          </w:p>
        </w:tc>
        <w:tc>
          <w:tcPr>
            <w:tcW w:w="1264" w:type="dxa"/>
            <w:tcBorders>
              <w:top w:val="nil"/>
              <w:left w:val="nil"/>
              <w:bottom w:val="nil"/>
              <w:right w:val="nil"/>
            </w:tcBorders>
            <w:shd w:val="clear" w:color="000000" w:fill="FFFFFF"/>
            <w:noWrap/>
            <w:vAlign w:val="bottom"/>
            <w:hideMark/>
          </w:tcPr>
          <w:p w:rsidR="0042069D" w:rsidRPr="0061007F" w:rsidRDefault="0042069D" w:rsidP="0061007F">
            <w:pPr>
              <w:jc w:val="right"/>
              <w:rPr>
                <w:rFonts w:ascii="Calibri" w:hAnsi="Calibri"/>
                <w:color w:val="000000"/>
                <w:lang w:val="sr-Latn-BA" w:eastAsia="sr-Latn-BA"/>
              </w:rPr>
            </w:pPr>
            <w:r w:rsidRPr="0061007F">
              <w:rPr>
                <w:rFonts w:ascii="Calibri" w:hAnsi="Calibri"/>
                <w:color w:val="000000"/>
                <w:lang w:val="sr-Latn-BA" w:eastAsia="sr-Latn-BA"/>
              </w:rPr>
              <w:t xml:space="preserve">                  </w:t>
            </w:r>
            <w:r w:rsidR="0061007F" w:rsidRPr="0061007F">
              <w:rPr>
                <w:rFonts w:ascii="Calibri" w:hAnsi="Calibri"/>
                <w:color w:val="000000"/>
                <w:lang w:val="sr-Latn-BA" w:eastAsia="sr-Latn-BA"/>
              </w:rPr>
              <w:t>0</w:t>
            </w:r>
            <w:r w:rsidR="005C62C3" w:rsidRPr="0061007F">
              <w:rPr>
                <w:rFonts w:ascii="Calibri" w:hAnsi="Calibri"/>
                <w:color w:val="000000"/>
                <w:lang w:val="sr-Latn-BA" w:eastAsia="sr-Latn-BA"/>
              </w:rPr>
              <w:t xml:space="preserve">      </w:t>
            </w:r>
            <w:r w:rsidRPr="0061007F">
              <w:rPr>
                <w:rFonts w:ascii="Calibri" w:hAnsi="Calibri"/>
                <w:color w:val="000000"/>
                <w:lang w:val="sr-Latn-BA" w:eastAsia="sr-Latn-BA"/>
              </w:rPr>
              <w:t xml:space="preserve">     </w:t>
            </w:r>
          </w:p>
        </w:tc>
      </w:tr>
      <w:tr w:rsidR="0042069D" w:rsidRPr="0042069D" w:rsidTr="0042069D">
        <w:trPr>
          <w:trHeight w:val="310"/>
        </w:trPr>
        <w:tc>
          <w:tcPr>
            <w:tcW w:w="6264" w:type="dxa"/>
            <w:tcBorders>
              <w:top w:val="nil"/>
              <w:left w:val="nil"/>
              <w:bottom w:val="nil"/>
              <w:right w:val="nil"/>
            </w:tcBorders>
            <w:shd w:val="clear" w:color="000000" w:fill="FFFFFF"/>
            <w:noWrap/>
            <w:vAlign w:val="bottom"/>
            <w:hideMark/>
          </w:tcPr>
          <w:p w:rsidR="0042069D" w:rsidRPr="0042069D" w:rsidRDefault="0042069D" w:rsidP="00443D60">
            <w:pPr>
              <w:rPr>
                <w:rFonts w:ascii="Calibri" w:hAnsi="Calibri"/>
                <w:color w:val="000000"/>
                <w:lang w:val="sr-Latn-BA" w:eastAsia="sr-Latn-BA"/>
              </w:rPr>
            </w:pPr>
            <w:r w:rsidRPr="0042069D">
              <w:rPr>
                <w:rFonts w:ascii="Calibri" w:hAnsi="Calibri"/>
                <w:color w:val="000000"/>
                <w:lang w:val="sr-Latn-BA" w:eastAsia="sr-Latn-BA"/>
              </w:rPr>
              <w:t xml:space="preserve">Troškovi </w:t>
            </w:r>
            <w:r w:rsidR="00443D60">
              <w:rPr>
                <w:rFonts w:ascii="Calibri" w:hAnsi="Calibri"/>
                <w:color w:val="000000"/>
                <w:lang w:val="sr-Latn-BA" w:eastAsia="sr-Latn-BA"/>
              </w:rPr>
              <w:t xml:space="preserve">platnog prometa </w:t>
            </w:r>
          </w:p>
        </w:tc>
        <w:tc>
          <w:tcPr>
            <w:tcW w:w="1896" w:type="dxa"/>
            <w:tcBorders>
              <w:top w:val="nil"/>
              <w:left w:val="nil"/>
              <w:bottom w:val="nil"/>
              <w:right w:val="nil"/>
            </w:tcBorders>
            <w:shd w:val="clear" w:color="000000" w:fill="FFFFFF"/>
            <w:noWrap/>
            <w:vAlign w:val="bottom"/>
            <w:hideMark/>
          </w:tcPr>
          <w:p w:rsidR="0042069D" w:rsidRPr="0042069D" w:rsidRDefault="00443D60" w:rsidP="009112EB">
            <w:pPr>
              <w:jc w:val="right"/>
              <w:rPr>
                <w:rFonts w:ascii="Calibri" w:hAnsi="Calibri"/>
                <w:color w:val="000000"/>
                <w:lang w:val="sr-Latn-BA" w:eastAsia="sr-Latn-BA"/>
              </w:rPr>
            </w:pPr>
            <w:r>
              <w:rPr>
                <w:rFonts w:ascii="Calibri" w:hAnsi="Calibri"/>
                <w:color w:val="000000"/>
                <w:lang w:val="sr-Latn-BA" w:eastAsia="sr-Latn-BA"/>
              </w:rPr>
              <w:t xml:space="preserve">    </w:t>
            </w:r>
            <w:r w:rsidR="000426B7">
              <w:rPr>
                <w:rFonts w:ascii="Calibri" w:hAnsi="Calibri"/>
                <w:color w:val="000000"/>
                <w:lang w:val="sr-Latn-BA" w:eastAsia="sr-Latn-BA"/>
              </w:rPr>
              <w:t xml:space="preserve">                           </w:t>
            </w:r>
            <w:r w:rsidR="009112EB">
              <w:rPr>
                <w:rFonts w:ascii="Calibri" w:hAnsi="Calibri"/>
                <w:color w:val="000000"/>
                <w:lang w:val="sr-Latn-BA" w:eastAsia="sr-Latn-BA"/>
              </w:rPr>
              <w:t>99</w:t>
            </w:r>
            <w:r w:rsidR="0042069D" w:rsidRPr="0042069D">
              <w:rPr>
                <w:rFonts w:ascii="Calibri" w:hAnsi="Calibri"/>
                <w:color w:val="000000"/>
                <w:lang w:val="sr-Latn-BA" w:eastAsia="sr-Latn-BA"/>
              </w:rPr>
              <w:t xml:space="preserve">      </w:t>
            </w:r>
          </w:p>
        </w:tc>
        <w:tc>
          <w:tcPr>
            <w:tcW w:w="1264" w:type="dxa"/>
            <w:tcBorders>
              <w:top w:val="nil"/>
              <w:left w:val="nil"/>
              <w:bottom w:val="nil"/>
              <w:right w:val="nil"/>
            </w:tcBorders>
            <w:shd w:val="clear" w:color="000000" w:fill="FFFFFF"/>
            <w:noWrap/>
            <w:vAlign w:val="bottom"/>
            <w:hideMark/>
          </w:tcPr>
          <w:p w:rsidR="0042069D" w:rsidRPr="0061007F" w:rsidRDefault="0042069D" w:rsidP="0061007F">
            <w:pPr>
              <w:jc w:val="right"/>
              <w:rPr>
                <w:rFonts w:ascii="Calibri" w:hAnsi="Calibri"/>
                <w:color w:val="000000"/>
                <w:lang w:val="sr-Latn-BA" w:eastAsia="sr-Latn-BA"/>
              </w:rPr>
            </w:pPr>
            <w:r w:rsidRPr="0061007F">
              <w:rPr>
                <w:rFonts w:ascii="Calibri" w:hAnsi="Calibri"/>
                <w:color w:val="000000"/>
                <w:lang w:val="sr-Latn-BA" w:eastAsia="sr-Latn-BA"/>
              </w:rPr>
              <w:t xml:space="preserve">                  </w:t>
            </w:r>
            <w:r w:rsidR="0061007F" w:rsidRPr="0061007F">
              <w:rPr>
                <w:rFonts w:ascii="Calibri" w:hAnsi="Calibri"/>
                <w:color w:val="000000"/>
                <w:lang w:val="sr-Latn-BA" w:eastAsia="sr-Latn-BA"/>
              </w:rPr>
              <w:t>75</w:t>
            </w:r>
            <w:r w:rsidRPr="0061007F">
              <w:rPr>
                <w:rFonts w:ascii="Calibri" w:hAnsi="Calibri"/>
                <w:color w:val="000000"/>
                <w:lang w:val="sr-Latn-BA" w:eastAsia="sr-Latn-BA"/>
              </w:rPr>
              <w:t xml:space="preserve">      </w:t>
            </w:r>
          </w:p>
        </w:tc>
      </w:tr>
      <w:tr w:rsidR="0042069D" w:rsidRPr="0042069D" w:rsidTr="0042069D">
        <w:trPr>
          <w:trHeight w:val="310"/>
        </w:trPr>
        <w:tc>
          <w:tcPr>
            <w:tcW w:w="6264" w:type="dxa"/>
            <w:tcBorders>
              <w:top w:val="nil"/>
              <w:left w:val="nil"/>
              <w:bottom w:val="nil"/>
              <w:right w:val="nil"/>
            </w:tcBorders>
            <w:shd w:val="clear" w:color="000000" w:fill="FFFFFF"/>
            <w:noWrap/>
            <w:vAlign w:val="bottom"/>
            <w:hideMark/>
          </w:tcPr>
          <w:p w:rsidR="0042069D" w:rsidRPr="00906B83" w:rsidRDefault="0042069D" w:rsidP="0042069D">
            <w:pPr>
              <w:rPr>
                <w:rFonts w:ascii="Calibri" w:hAnsi="Calibri"/>
                <w:color w:val="000000"/>
                <w:lang w:val="sr-Latn-BA" w:eastAsia="sr-Latn-BA"/>
              </w:rPr>
            </w:pPr>
            <w:r w:rsidRPr="00906B83">
              <w:rPr>
                <w:rFonts w:ascii="Calibri" w:hAnsi="Calibri"/>
                <w:color w:val="000000"/>
                <w:lang w:val="sr-Latn-BA" w:eastAsia="sr-Latn-BA"/>
              </w:rPr>
              <w:t xml:space="preserve">Ostali </w:t>
            </w:r>
          </w:p>
        </w:tc>
        <w:tc>
          <w:tcPr>
            <w:tcW w:w="1896" w:type="dxa"/>
            <w:tcBorders>
              <w:top w:val="nil"/>
              <w:left w:val="nil"/>
              <w:bottom w:val="nil"/>
              <w:right w:val="nil"/>
            </w:tcBorders>
            <w:shd w:val="clear" w:color="000000" w:fill="FFFFFF"/>
            <w:noWrap/>
            <w:vAlign w:val="bottom"/>
            <w:hideMark/>
          </w:tcPr>
          <w:p w:rsidR="0042069D" w:rsidRPr="00906B83" w:rsidRDefault="00906B83" w:rsidP="00443D60">
            <w:pPr>
              <w:jc w:val="right"/>
              <w:rPr>
                <w:rFonts w:ascii="Calibri" w:hAnsi="Calibri"/>
                <w:color w:val="000000"/>
                <w:lang w:val="sr-Latn-BA" w:eastAsia="sr-Latn-BA"/>
              </w:rPr>
            </w:pPr>
            <w:r>
              <w:rPr>
                <w:rFonts w:ascii="Calibri" w:hAnsi="Calibri"/>
                <w:color w:val="000000"/>
                <w:lang w:val="sr-Latn-BA" w:eastAsia="sr-Latn-BA"/>
              </w:rPr>
              <w:t xml:space="preserve">       </w:t>
            </w:r>
            <w:r w:rsidR="00443D60">
              <w:rPr>
                <w:rFonts w:ascii="Calibri" w:hAnsi="Calibri"/>
                <w:color w:val="000000"/>
                <w:lang w:val="sr-Latn-BA" w:eastAsia="sr-Latn-BA"/>
              </w:rPr>
              <w:t>-</w:t>
            </w:r>
            <w:r w:rsidR="0042069D" w:rsidRPr="00906B83">
              <w:rPr>
                <w:rFonts w:ascii="Calibri" w:hAnsi="Calibri"/>
                <w:color w:val="000000"/>
                <w:lang w:val="sr-Latn-BA" w:eastAsia="sr-Latn-BA"/>
              </w:rPr>
              <w:t xml:space="preserve">                               </w:t>
            </w:r>
            <w:r w:rsidRPr="00906B83">
              <w:rPr>
                <w:rFonts w:ascii="Calibri" w:hAnsi="Calibri"/>
                <w:color w:val="000000"/>
                <w:lang w:val="sr-Latn-BA" w:eastAsia="sr-Latn-BA"/>
              </w:rPr>
              <w:t xml:space="preserve">      </w:t>
            </w:r>
            <w:r w:rsidR="0042069D" w:rsidRPr="00906B83">
              <w:rPr>
                <w:rFonts w:ascii="Calibri" w:hAnsi="Calibri"/>
                <w:color w:val="000000"/>
                <w:lang w:val="sr-Latn-BA" w:eastAsia="sr-Latn-BA"/>
              </w:rPr>
              <w:t xml:space="preserve">   </w:t>
            </w:r>
            <w:r w:rsidRPr="00906B83">
              <w:rPr>
                <w:rFonts w:ascii="Calibri" w:hAnsi="Calibri"/>
                <w:color w:val="000000"/>
                <w:lang w:val="sr-Latn-BA" w:eastAsia="sr-Latn-BA"/>
              </w:rPr>
              <w:t xml:space="preserve">       </w:t>
            </w:r>
            <w:r w:rsidR="0042069D" w:rsidRPr="00906B83">
              <w:rPr>
                <w:rFonts w:ascii="Calibri" w:hAnsi="Calibri"/>
                <w:color w:val="000000"/>
                <w:lang w:val="sr-Latn-BA" w:eastAsia="sr-Latn-BA"/>
              </w:rPr>
              <w:t xml:space="preserve"> </w:t>
            </w:r>
          </w:p>
        </w:tc>
        <w:tc>
          <w:tcPr>
            <w:tcW w:w="1264" w:type="dxa"/>
            <w:tcBorders>
              <w:top w:val="nil"/>
              <w:left w:val="nil"/>
              <w:bottom w:val="nil"/>
              <w:right w:val="nil"/>
            </w:tcBorders>
            <w:shd w:val="clear" w:color="000000" w:fill="FFFFFF"/>
            <w:noWrap/>
            <w:vAlign w:val="bottom"/>
            <w:hideMark/>
          </w:tcPr>
          <w:p w:rsidR="0042069D" w:rsidRPr="0061007F" w:rsidRDefault="0061007F" w:rsidP="00443D60">
            <w:pPr>
              <w:jc w:val="right"/>
              <w:rPr>
                <w:rFonts w:ascii="Calibri" w:hAnsi="Calibri"/>
                <w:color w:val="000000"/>
                <w:lang w:val="sr-Latn-BA" w:eastAsia="sr-Latn-BA"/>
              </w:rPr>
            </w:pPr>
            <w:r w:rsidRPr="0061007F">
              <w:rPr>
                <w:rFonts w:ascii="Calibri" w:hAnsi="Calibri"/>
                <w:color w:val="000000"/>
                <w:lang w:val="sr-Latn-BA" w:eastAsia="sr-Latn-BA"/>
              </w:rPr>
              <w:t>1.099</w:t>
            </w:r>
            <w:r w:rsidR="0042069D" w:rsidRPr="0061007F">
              <w:rPr>
                <w:rFonts w:ascii="Calibri" w:hAnsi="Calibri"/>
                <w:color w:val="000000"/>
                <w:lang w:val="sr-Latn-BA" w:eastAsia="sr-Latn-BA"/>
              </w:rPr>
              <w:t xml:space="preserve">          </w:t>
            </w:r>
            <w:r w:rsidR="00906B83" w:rsidRPr="0061007F">
              <w:rPr>
                <w:rFonts w:ascii="Calibri" w:hAnsi="Calibri"/>
                <w:color w:val="000000"/>
                <w:lang w:val="sr-Latn-BA" w:eastAsia="sr-Latn-BA"/>
              </w:rPr>
              <w:t xml:space="preserve">  </w:t>
            </w:r>
            <w:r w:rsidR="0042069D" w:rsidRPr="0061007F">
              <w:rPr>
                <w:rFonts w:ascii="Calibri" w:hAnsi="Calibri"/>
                <w:color w:val="000000"/>
                <w:lang w:val="sr-Latn-BA" w:eastAsia="sr-Latn-BA"/>
              </w:rPr>
              <w:t xml:space="preserve">     </w:t>
            </w:r>
          </w:p>
        </w:tc>
      </w:tr>
      <w:tr w:rsidR="0042069D" w:rsidRPr="0042069D" w:rsidTr="0042069D">
        <w:trPr>
          <w:trHeight w:val="370"/>
        </w:trPr>
        <w:tc>
          <w:tcPr>
            <w:tcW w:w="6264" w:type="dxa"/>
            <w:tcBorders>
              <w:top w:val="nil"/>
              <w:left w:val="nil"/>
              <w:bottom w:val="nil"/>
              <w:right w:val="nil"/>
            </w:tcBorders>
            <w:shd w:val="clear" w:color="000000" w:fill="FFFFFF"/>
            <w:noWrap/>
            <w:vAlign w:val="bottom"/>
            <w:hideMark/>
          </w:tcPr>
          <w:p w:rsidR="0042069D" w:rsidRPr="0042069D" w:rsidRDefault="0042069D" w:rsidP="0042069D">
            <w:pPr>
              <w:rPr>
                <w:rFonts w:ascii="Calibri" w:hAnsi="Calibri"/>
                <w:b/>
                <w:bCs/>
                <w:color w:val="000000"/>
                <w:lang w:val="sr-Latn-BA" w:eastAsia="sr-Latn-BA"/>
              </w:rPr>
            </w:pPr>
            <w:r w:rsidRPr="0042069D">
              <w:rPr>
                <w:rFonts w:ascii="Calibri" w:hAnsi="Calibri"/>
                <w:b/>
                <w:bCs/>
                <w:color w:val="000000"/>
                <w:lang w:val="sr-Latn-BA" w:eastAsia="sr-Latn-BA"/>
              </w:rPr>
              <w:lastRenderedPageBreak/>
              <w:t>Ukupno rashodi povezana lica</w:t>
            </w:r>
          </w:p>
        </w:tc>
        <w:tc>
          <w:tcPr>
            <w:tcW w:w="1896" w:type="dxa"/>
            <w:tcBorders>
              <w:top w:val="nil"/>
              <w:left w:val="nil"/>
              <w:bottom w:val="nil"/>
              <w:right w:val="nil"/>
            </w:tcBorders>
            <w:shd w:val="clear" w:color="000000" w:fill="FFFFFF"/>
            <w:noWrap/>
            <w:vAlign w:val="bottom"/>
            <w:hideMark/>
          </w:tcPr>
          <w:p w:rsidR="0042069D" w:rsidRPr="0042069D" w:rsidRDefault="00906B83" w:rsidP="009112EB">
            <w:pPr>
              <w:jc w:val="right"/>
              <w:rPr>
                <w:rFonts w:ascii="Calibri" w:hAnsi="Calibri"/>
                <w:b/>
                <w:bCs/>
                <w:color w:val="000000"/>
                <w:u w:val="single"/>
                <w:lang w:val="sr-Latn-BA" w:eastAsia="sr-Latn-BA"/>
              </w:rPr>
            </w:pPr>
            <w:r>
              <w:rPr>
                <w:rFonts w:ascii="Calibri" w:hAnsi="Calibri"/>
                <w:b/>
                <w:bCs/>
                <w:color w:val="000000"/>
                <w:u w:val="single"/>
                <w:lang w:val="sr-Latn-BA" w:eastAsia="sr-Latn-BA"/>
              </w:rPr>
              <w:t xml:space="preserve">     </w:t>
            </w:r>
            <w:r w:rsidR="009112EB">
              <w:rPr>
                <w:rFonts w:ascii="Calibri" w:hAnsi="Calibri"/>
                <w:b/>
                <w:bCs/>
                <w:color w:val="000000"/>
                <w:u w:val="single"/>
                <w:lang w:val="sr-Latn-BA" w:eastAsia="sr-Latn-BA"/>
              </w:rPr>
              <w:t>17.829</w:t>
            </w:r>
            <w:r w:rsidR="0042069D" w:rsidRPr="0042069D">
              <w:rPr>
                <w:rFonts w:ascii="Calibri" w:hAnsi="Calibri"/>
                <w:b/>
                <w:bCs/>
                <w:color w:val="000000"/>
                <w:u w:val="single"/>
                <w:lang w:val="sr-Latn-BA" w:eastAsia="sr-Latn-BA"/>
              </w:rPr>
              <w:t xml:space="preserve">    </w:t>
            </w:r>
          </w:p>
        </w:tc>
        <w:tc>
          <w:tcPr>
            <w:tcW w:w="1264" w:type="dxa"/>
            <w:tcBorders>
              <w:top w:val="nil"/>
              <w:left w:val="nil"/>
              <w:bottom w:val="nil"/>
              <w:right w:val="nil"/>
            </w:tcBorders>
            <w:shd w:val="clear" w:color="000000" w:fill="FFFFFF"/>
            <w:noWrap/>
            <w:vAlign w:val="bottom"/>
            <w:hideMark/>
          </w:tcPr>
          <w:p w:rsidR="0042069D" w:rsidRPr="0061007F" w:rsidRDefault="0042069D" w:rsidP="0061007F">
            <w:pPr>
              <w:jc w:val="right"/>
              <w:rPr>
                <w:rFonts w:ascii="Calibri" w:hAnsi="Calibri"/>
                <w:b/>
                <w:bCs/>
                <w:color w:val="000000"/>
                <w:u w:val="single"/>
                <w:lang w:val="sr-Latn-BA" w:eastAsia="sr-Latn-BA"/>
              </w:rPr>
            </w:pPr>
            <w:r w:rsidRPr="0061007F">
              <w:rPr>
                <w:rFonts w:ascii="Calibri" w:hAnsi="Calibri"/>
                <w:b/>
                <w:bCs/>
                <w:color w:val="000000"/>
                <w:u w:val="single"/>
                <w:lang w:val="sr-Latn-BA" w:eastAsia="sr-Latn-BA"/>
              </w:rPr>
              <w:t xml:space="preserve">                  </w:t>
            </w:r>
            <w:r w:rsidR="0061007F" w:rsidRPr="0061007F">
              <w:rPr>
                <w:rFonts w:ascii="Calibri" w:hAnsi="Calibri"/>
                <w:b/>
                <w:bCs/>
                <w:color w:val="000000"/>
                <w:u w:val="single"/>
                <w:lang w:val="sr-Latn-BA" w:eastAsia="sr-Latn-BA"/>
              </w:rPr>
              <w:t>29.813</w:t>
            </w:r>
            <w:r w:rsidR="005C62C3" w:rsidRPr="0061007F">
              <w:rPr>
                <w:rFonts w:ascii="Calibri" w:hAnsi="Calibri"/>
                <w:b/>
                <w:bCs/>
                <w:color w:val="000000"/>
                <w:u w:val="single"/>
                <w:lang w:val="sr-Latn-BA" w:eastAsia="sr-Latn-BA"/>
              </w:rPr>
              <w:t xml:space="preserve">    </w:t>
            </w:r>
            <w:r w:rsidRPr="0061007F">
              <w:rPr>
                <w:rFonts w:ascii="Calibri" w:hAnsi="Calibri"/>
                <w:b/>
                <w:bCs/>
                <w:color w:val="000000"/>
                <w:u w:val="single"/>
                <w:lang w:val="sr-Latn-BA" w:eastAsia="sr-Latn-BA"/>
              </w:rPr>
              <w:t xml:space="preserve">      </w:t>
            </w:r>
          </w:p>
        </w:tc>
      </w:tr>
      <w:tr w:rsidR="0042069D" w:rsidRPr="0042069D" w:rsidTr="0042069D">
        <w:trPr>
          <w:trHeight w:val="290"/>
        </w:trPr>
        <w:tc>
          <w:tcPr>
            <w:tcW w:w="6264" w:type="dxa"/>
            <w:tcBorders>
              <w:top w:val="nil"/>
              <w:left w:val="nil"/>
              <w:bottom w:val="nil"/>
              <w:right w:val="nil"/>
            </w:tcBorders>
            <w:shd w:val="clear" w:color="000000" w:fill="FFFFFF"/>
            <w:noWrap/>
            <w:vAlign w:val="bottom"/>
            <w:hideMark/>
          </w:tcPr>
          <w:p w:rsidR="0042069D" w:rsidRPr="0042069D" w:rsidRDefault="0042069D" w:rsidP="0042069D">
            <w:pPr>
              <w:rPr>
                <w:rFonts w:ascii="Calibri" w:hAnsi="Calibri"/>
                <w:color w:val="000000"/>
                <w:sz w:val="22"/>
                <w:szCs w:val="22"/>
                <w:lang w:val="sr-Latn-BA" w:eastAsia="sr-Latn-BA"/>
              </w:rPr>
            </w:pPr>
            <w:r w:rsidRPr="0042069D">
              <w:rPr>
                <w:rFonts w:ascii="Calibri" w:hAnsi="Calibri"/>
                <w:color w:val="000000"/>
                <w:sz w:val="22"/>
                <w:szCs w:val="22"/>
                <w:lang w:val="sr-Latn-BA" w:eastAsia="sr-Latn-BA"/>
              </w:rPr>
              <w:t> </w:t>
            </w:r>
          </w:p>
        </w:tc>
        <w:tc>
          <w:tcPr>
            <w:tcW w:w="1896" w:type="dxa"/>
            <w:tcBorders>
              <w:top w:val="nil"/>
              <w:left w:val="nil"/>
              <w:bottom w:val="nil"/>
              <w:right w:val="nil"/>
            </w:tcBorders>
            <w:shd w:val="clear" w:color="000000" w:fill="FFFFFF"/>
            <w:noWrap/>
            <w:vAlign w:val="bottom"/>
            <w:hideMark/>
          </w:tcPr>
          <w:p w:rsidR="0042069D" w:rsidRPr="0042069D" w:rsidRDefault="0042069D" w:rsidP="0042069D">
            <w:pPr>
              <w:rPr>
                <w:rFonts w:ascii="Calibri" w:hAnsi="Calibri"/>
                <w:color w:val="000000"/>
                <w:sz w:val="22"/>
                <w:szCs w:val="22"/>
                <w:lang w:val="sr-Latn-BA" w:eastAsia="sr-Latn-BA"/>
              </w:rPr>
            </w:pPr>
            <w:r w:rsidRPr="0042069D">
              <w:rPr>
                <w:rFonts w:ascii="Calibri" w:hAnsi="Calibri"/>
                <w:color w:val="000000"/>
                <w:sz w:val="22"/>
                <w:szCs w:val="22"/>
                <w:lang w:val="sr-Latn-BA" w:eastAsia="sr-Latn-BA"/>
              </w:rPr>
              <w:t> </w:t>
            </w:r>
          </w:p>
        </w:tc>
        <w:tc>
          <w:tcPr>
            <w:tcW w:w="1264" w:type="dxa"/>
            <w:tcBorders>
              <w:top w:val="nil"/>
              <w:left w:val="nil"/>
              <w:bottom w:val="nil"/>
              <w:right w:val="nil"/>
            </w:tcBorders>
            <w:shd w:val="clear" w:color="000000" w:fill="FFFFFF"/>
            <w:noWrap/>
            <w:vAlign w:val="bottom"/>
            <w:hideMark/>
          </w:tcPr>
          <w:p w:rsidR="0042069D" w:rsidRPr="0042069D" w:rsidRDefault="0042069D" w:rsidP="0042069D">
            <w:pPr>
              <w:rPr>
                <w:rFonts w:ascii="Calibri" w:hAnsi="Calibri"/>
                <w:color w:val="000000"/>
                <w:sz w:val="22"/>
                <w:szCs w:val="22"/>
                <w:lang w:val="sr-Latn-BA" w:eastAsia="sr-Latn-BA"/>
              </w:rPr>
            </w:pPr>
            <w:r w:rsidRPr="0042069D">
              <w:rPr>
                <w:rFonts w:ascii="Calibri" w:hAnsi="Calibri"/>
                <w:color w:val="000000"/>
                <w:sz w:val="22"/>
                <w:szCs w:val="22"/>
                <w:lang w:val="sr-Latn-BA" w:eastAsia="sr-Latn-BA"/>
              </w:rPr>
              <w:t> </w:t>
            </w:r>
          </w:p>
        </w:tc>
      </w:tr>
      <w:tr w:rsidR="0042069D" w:rsidRPr="0042069D" w:rsidTr="0042069D">
        <w:trPr>
          <w:trHeight w:val="310"/>
        </w:trPr>
        <w:tc>
          <w:tcPr>
            <w:tcW w:w="6264" w:type="dxa"/>
            <w:tcBorders>
              <w:top w:val="nil"/>
              <w:left w:val="nil"/>
              <w:bottom w:val="nil"/>
              <w:right w:val="nil"/>
            </w:tcBorders>
            <w:shd w:val="clear" w:color="000000" w:fill="FFFFFF"/>
            <w:noWrap/>
            <w:vAlign w:val="bottom"/>
            <w:hideMark/>
          </w:tcPr>
          <w:p w:rsidR="0042069D" w:rsidRPr="0042069D" w:rsidRDefault="0042069D" w:rsidP="0042069D">
            <w:pPr>
              <w:rPr>
                <w:rFonts w:ascii="Calibri" w:hAnsi="Calibri"/>
                <w:b/>
                <w:bCs/>
                <w:color w:val="000000"/>
                <w:lang w:val="sr-Latn-BA" w:eastAsia="sr-Latn-BA"/>
              </w:rPr>
            </w:pPr>
            <w:r w:rsidRPr="0042069D">
              <w:rPr>
                <w:rFonts w:ascii="Calibri" w:hAnsi="Calibri"/>
                <w:b/>
                <w:bCs/>
                <w:color w:val="000000"/>
                <w:lang w:val="sr-Latn-BA" w:eastAsia="sr-Latn-BA"/>
              </w:rPr>
              <w:t xml:space="preserve">BILANS STANJA INVESTICIONOG FONDA </w:t>
            </w:r>
          </w:p>
        </w:tc>
        <w:tc>
          <w:tcPr>
            <w:tcW w:w="1896" w:type="dxa"/>
            <w:tcBorders>
              <w:top w:val="nil"/>
              <w:left w:val="nil"/>
              <w:bottom w:val="nil"/>
              <w:right w:val="nil"/>
            </w:tcBorders>
            <w:shd w:val="clear" w:color="000000" w:fill="FFFFFF"/>
            <w:noWrap/>
            <w:vAlign w:val="bottom"/>
            <w:hideMark/>
          </w:tcPr>
          <w:p w:rsidR="0042069D" w:rsidRPr="0042069D" w:rsidRDefault="0042069D" w:rsidP="0042069D">
            <w:pPr>
              <w:jc w:val="center"/>
              <w:rPr>
                <w:rFonts w:ascii="Calibri" w:hAnsi="Calibri"/>
                <w:b/>
                <w:bCs/>
                <w:color w:val="000000"/>
                <w:lang w:val="sr-Latn-BA" w:eastAsia="sr-Latn-BA"/>
              </w:rPr>
            </w:pPr>
            <w:r w:rsidRPr="0042069D">
              <w:rPr>
                <w:rFonts w:ascii="Calibri" w:hAnsi="Calibri"/>
                <w:b/>
                <w:bCs/>
                <w:color w:val="000000"/>
                <w:lang w:val="sr-Latn-BA" w:eastAsia="sr-Latn-BA"/>
              </w:rPr>
              <w:t>20</w:t>
            </w:r>
            <w:r w:rsidR="00C4309C">
              <w:rPr>
                <w:rFonts w:ascii="Calibri" w:hAnsi="Calibri"/>
                <w:b/>
                <w:bCs/>
                <w:color w:val="000000"/>
                <w:lang w:val="sr-Latn-BA" w:eastAsia="sr-Latn-BA"/>
              </w:rPr>
              <w:t>2</w:t>
            </w:r>
            <w:r w:rsidR="009112EB">
              <w:rPr>
                <w:rFonts w:ascii="Calibri" w:hAnsi="Calibri"/>
                <w:b/>
                <w:bCs/>
                <w:color w:val="000000"/>
                <w:lang w:val="sr-Latn-BA" w:eastAsia="sr-Latn-BA"/>
              </w:rPr>
              <w:t>1</w:t>
            </w:r>
          </w:p>
        </w:tc>
        <w:tc>
          <w:tcPr>
            <w:tcW w:w="1264" w:type="dxa"/>
            <w:tcBorders>
              <w:top w:val="nil"/>
              <w:left w:val="nil"/>
              <w:bottom w:val="nil"/>
              <w:right w:val="nil"/>
            </w:tcBorders>
            <w:shd w:val="clear" w:color="000000" w:fill="FFFFFF"/>
            <w:noWrap/>
            <w:vAlign w:val="bottom"/>
            <w:hideMark/>
          </w:tcPr>
          <w:p w:rsidR="00130798" w:rsidRPr="0042069D" w:rsidRDefault="0042069D" w:rsidP="00130798">
            <w:pPr>
              <w:jc w:val="center"/>
              <w:rPr>
                <w:rFonts w:ascii="Calibri" w:hAnsi="Calibri"/>
                <w:b/>
                <w:bCs/>
                <w:color w:val="000000"/>
                <w:lang w:val="sr-Latn-BA" w:eastAsia="sr-Latn-BA"/>
              </w:rPr>
            </w:pPr>
            <w:r w:rsidRPr="0042069D">
              <w:rPr>
                <w:rFonts w:ascii="Calibri" w:hAnsi="Calibri"/>
                <w:b/>
                <w:bCs/>
                <w:color w:val="000000"/>
                <w:lang w:val="sr-Latn-BA" w:eastAsia="sr-Latn-BA"/>
              </w:rPr>
              <w:t>201</w:t>
            </w:r>
            <w:r w:rsidR="00C4309C">
              <w:rPr>
                <w:rFonts w:ascii="Calibri" w:hAnsi="Calibri"/>
                <w:b/>
                <w:bCs/>
                <w:color w:val="000000"/>
                <w:lang w:val="sr-Latn-BA" w:eastAsia="sr-Latn-BA"/>
              </w:rPr>
              <w:t>9</w:t>
            </w:r>
          </w:p>
        </w:tc>
      </w:tr>
      <w:tr w:rsidR="0042069D" w:rsidRPr="0042069D" w:rsidTr="0042069D">
        <w:trPr>
          <w:trHeight w:val="310"/>
        </w:trPr>
        <w:tc>
          <w:tcPr>
            <w:tcW w:w="6264" w:type="dxa"/>
            <w:tcBorders>
              <w:top w:val="nil"/>
              <w:left w:val="nil"/>
              <w:bottom w:val="nil"/>
              <w:right w:val="nil"/>
            </w:tcBorders>
            <w:shd w:val="clear" w:color="000000" w:fill="FFFFFF"/>
            <w:noWrap/>
            <w:vAlign w:val="bottom"/>
            <w:hideMark/>
          </w:tcPr>
          <w:p w:rsidR="0042069D" w:rsidRPr="0042069D" w:rsidRDefault="0042069D" w:rsidP="0042069D">
            <w:pPr>
              <w:rPr>
                <w:rFonts w:ascii="Calibri" w:hAnsi="Calibri"/>
                <w:color w:val="000000"/>
                <w:lang w:val="sr-Latn-BA" w:eastAsia="sr-Latn-BA"/>
              </w:rPr>
            </w:pPr>
            <w:r w:rsidRPr="0042069D">
              <w:rPr>
                <w:rFonts w:ascii="Calibri" w:hAnsi="Calibri"/>
                <w:color w:val="000000"/>
                <w:lang w:val="sr-Latn-BA" w:eastAsia="sr-Latn-BA"/>
              </w:rPr>
              <w:t>OBAVEZE</w:t>
            </w:r>
          </w:p>
        </w:tc>
        <w:tc>
          <w:tcPr>
            <w:tcW w:w="1896" w:type="dxa"/>
            <w:tcBorders>
              <w:top w:val="nil"/>
              <w:left w:val="nil"/>
              <w:bottom w:val="nil"/>
              <w:right w:val="nil"/>
            </w:tcBorders>
            <w:shd w:val="clear" w:color="000000" w:fill="FFFFFF"/>
            <w:noWrap/>
            <w:vAlign w:val="bottom"/>
            <w:hideMark/>
          </w:tcPr>
          <w:p w:rsidR="0042069D" w:rsidRPr="0042069D" w:rsidRDefault="0042069D" w:rsidP="0042069D">
            <w:pPr>
              <w:rPr>
                <w:rFonts w:ascii="Calibri" w:hAnsi="Calibri"/>
                <w:b/>
                <w:bCs/>
                <w:color w:val="000000"/>
                <w:lang w:val="sr-Latn-BA" w:eastAsia="sr-Latn-BA"/>
              </w:rPr>
            </w:pPr>
            <w:r w:rsidRPr="0042069D">
              <w:rPr>
                <w:rFonts w:ascii="Calibri" w:hAnsi="Calibri"/>
                <w:b/>
                <w:bCs/>
                <w:color w:val="000000"/>
                <w:lang w:val="sr-Latn-BA" w:eastAsia="sr-Latn-BA"/>
              </w:rPr>
              <w:t> </w:t>
            </w:r>
          </w:p>
        </w:tc>
        <w:tc>
          <w:tcPr>
            <w:tcW w:w="1264" w:type="dxa"/>
            <w:tcBorders>
              <w:top w:val="nil"/>
              <w:left w:val="nil"/>
              <w:bottom w:val="nil"/>
              <w:right w:val="nil"/>
            </w:tcBorders>
            <w:shd w:val="clear" w:color="000000" w:fill="FFFFFF"/>
            <w:noWrap/>
            <w:vAlign w:val="bottom"/>
            <w:hideMark/>
          </w:tcPr>
          <w:p w:rsidR="0042069D" w:rsidRPr="0042069D" w:rsidRDefault="0042069D" w:rsidP="0042069D">
            <w:pPr>
              <w:rPr>
                <w:rFonts w:ascii="Calibri" w:hAnsi="Calibri"/>
                <w:b/>
                <w:bCs/>
                <w:color w:val="000000"/>
                <w:lang w:val="sr-Latn-BA" w:eastAsia="sr-Latn-BA"/>
              </w:rPr>
            </w:pPr>
            <w:r w:rsidRPr="0042069D">
              <w:rPr>
                <w:rFonts w:ascii="Calibri" w:hAnsi="Calibri"/>
                <w:b/>
                <w:bCs/>
                <w:color w:val="000000"/>
                <w:lang w:val="sr-Latn-BA" w:eastAsia="sr-Latn-BA"/>
              </w:rPr>
              <w:t> </w:t>
            </w:r>
          </w:p>
        </w:tc>
      </w:tr>
      <w:tr w:rsidR="0042069D" w:rsidRPr="0042069D" w:rsidTr="0042069D">
        <w:trPr>
          <w:trHeight w:val="620"/>
        </w:trPr>
        <w:tc>
          <w:tcPr>
            <w:tcW w:w="6264" w:type="dxa"/>
            <w:tcBorders>
              <w:top w:val="nil"/>
              <w:left w:val="nil"/>
              <w:bottom w:val="nil"/>
              <w:right w:val="nil"/>
            </w:tcBorders>
            <w:shd w:val="clear" w:color="000000" w:fill="FFFFFF"/>
            <w:vAlign w:val="center"/>
            <w:hideMark/>
          </w:tcPr>
          <w:p w:rsidR="0042069D" w:rsidRPr="0042069D" w:rsidRDefault="0042069D" w:rsidP="0042069D">
            <w:pPr>
              <w:rPr>
                <w:rFonts w:ascii="Calibri" w:hAnsi="Calibri"/>
                <w:color w:val="000000"/>
                <w:lang w:val="sr-Latn-BA" w:eastAsia="sr-Latn-BA"/>
              </w:rPr>
            </w:pPr>
            <w:r w:rsidRPr="0042069D">
              <w:rPr>
                <w:rFonts w:ascii="Calibri" w:hAnsi="Calibri"/>
                <w:color w:val="000000"/>
                <w:lang w:val="sr-Latn-BA" w:eastAsia="sr-Latn-BA"/>
              </w:rPr>
              <w:t>Obaveze prema Kristal Invest ad Banja Luka po osnovu provizije za upravljanje Fondom</w:t>
            </w:r>
          </w:p>
        </w:tc>
        <w:tc>
          <w:tcPr>
            <w:tcW w:w="1896" w:type="dxa"/>
            <w:tcBorders>
              <w:top w:val="nil"/>
              <w:left w:val="nil"/>
              <w:bottom w:val="nil"/>
              <w:right w:val="nil"/>
            </w:tcBorders>
            <w:shd w:val="clear" w:color="000000" w:fill="FFFFFF"/>
            <w:noWrap/>
            <w:vAlign w:val="bottom"/>
            <w:hideMark/>
          </w:tcPr>
          <w:p w:rsidR="0042069D" w:rsidRPr="0042069D" w:rsidRDefault="0042069D" w:rsidP="009112EB">
            <w:pPr>
              <w:jc w:val="right"/>
              <w:rPr>
                <w:rFonts w:ascii="Calibri" w:hAnsi="Calibri"/>
                <w:color w:val="000000"/>
                <w:lang w:val="sr-Latn-BA" w:eastAsia="sr-Latn-BA"/>
              </w:rPr>
            </w:pPr>
            <w:r w:rsidRPr="0042069D">
              <w:rPr>
                <w:rFonts w:ascii="Calibri" w:hAnsi="Calibri"/>
                <w:color w:val="000000"/>
                <w:lang w:val="sr-Latn-BA" w:eastAsia="sr-Latn-BA"/>
              </w:rPr>
              <w:t xml:space="preserve">    </w:t>
            </w:r>
            <w:r w:rsidR="00906B83">
              <w:rPr>
                <w:rFonts w:ascii="Calibri" w:hAnsi="Calibri"/>
                <w:color w:val="000000"/>
                <w:lang w:val="sr-Latn-BA" w:eastAsia="sr-Latn-BA"/>
              </w:rPr>
              <w:t xml:space="preserve">            </w:t>
            </w:r>
            <w:r w:rsidR="009112EB">
              <w:rPr>
                <w:rFonts w:ascii="Calibri" w:hAnsi="Calibri"/>
                <w:color w:val="000000"/>
                <w:lang w:val="sr-Latn-BA" w:eastAsia="sr-Latn-BA"/>
              </w:rPr>
              <w:t>8.855</w:t>
            </w:r>
            <w:r w:rsidRPr="0042069D">
              <w:rPr>
                <w:rFonts w:ascii="Calibri" w:hAnsi="Calibri"/>
                <w:color w:val="000000"/>
                <w:lang w:val="sr-Latn-BA" w:eastAsia="sr-Latn-BA"/>
              </w:rPr>
              <w:t xml:space="preserve">    </w:t>
            </w:r>
          </w:p>
        </w:tc>
        <w:tc>
          <w:tcPr>
            <w:tcW w:w="1264" w:type="dxa"/>
            <w:tcBorders>
              <w:top w:val="nil"/>
              <w:left w:val="nil"/>
              <w:bottom w:val="nil"/>
              <w:right w:val="nil"/>
            </w:tcBorders>
            <w:shd w:val="clear" w:color="000000" w:fill="FFFFFF"/>
            <w:noWrap/>
            <w:vAlign w:val="bottom"/>
            <w:hideMark/>
          </w:tcPr>
          <w:p w:rsidR="0042069D" w:rsidRPr="009112EB" w:rsidRDefault="0042069D" w:rsidP="00FA640F">
            <w:pPr>
              <w:jc w:val="right"/>
              <w:rPr>
                <w:rFonts w:ascii="Calibri" w:hAnsi="Calibri"/>
                <w:color w:val="000000"/>
                <w:highlight w:val="yellow"/>
                <w:lang w:val="sr-Latn-BA" w:eastAsia="sr-Latn-BA"/>
              </w:rPr>
            </w:pPr>
            <w:r w:rsidRPr="009112EB">
              <w:rPr>
                <w:rFonts w:ascii="Calibri" w:hAnsi="Calibri"/>
                <w:color w:val="000000"/>
                <w:highlight w:val="yellow"/>
                <w:lang w:val="sr-Latn-BA" w:eastAsia="sr-Latn-BA"/>
              </w:rPr>
              <w:t xml:space="preserve">                  </w:t>
            </w:r>
            <w:r w:rsidR="00C4309C" w:rsidRPr="009112EB">
              <w:rPr>
                <w:rFonts w:ascii="Calibri" w:hAnsi="Calibri"/>
                <w:color w:val="000000"/>
                <w:highlight w:val="yellow"/>
                <w:lang w:val="sr-Latn-BA" w:eastAsia="sr-Latn-BA"/>
              </w:rPr>
              <w:t xml:space="preserve">                </w:t>
            </w:r>
            <w:r w:rsidR="00FA640F" w:rsidRPr="00FA640F">
              <w:rPr>
                <w:rFonts w:ascii="Calibri" w:hAnsi="Calibri"/>
                <w:color w:val="000000"/>
                <w:lang w:val="sr-Latn-BA" w:eastAsia="sr-Latn-BA"/>
              </w:rPr>
              <w:t>15.309</w:t>
            </w:r>
            <w:r w:rsidR="00C4309C" w:rsidRPr="00FA640F">
              <w:rPr>
                <w:rFonts w:ascii="Calibri" w:hAnsi="Calibri"/>
                <w:color w:val="000000"/>
                <w:lang w:val="sr-Latn-BA" w:eastAsia="sr-Latn-BA"/>
              </w:rPr>
              <w:t xml:space="preserve">    </w:t>
            </w:r>
            <w:r w:rsidRPr="00FA640F">
              <w:rPr>
                <w:rFonts w:ascii="Calibri" w:hAnsi="Calibri"/>
                <w:color w:val="000000"/>
                <w:lang w:val="sr-Latn-BA" w:eastAsia="sr-Latn-BA"/>
              </w:rPr>
              <w:t xml:space="preserve">      </w:t>
            </w:r>
          </w:p>
        </w:tc>
      </w:tr>
      <w:tr w:rsidR="0042069D" w:rsidRPr="0042069D" w:rsidTr="0042069D">
        <w:trPr>
          <w:trHeight w:val="620"/>
        </w:trPr>
        <w:tc>
          <w:tcPr>
            <w:tcW w:w="6264" w:type="dxa"/>
            <w:tcBorders>
              <w:top w:val="nil"/>
              <w:left w:val="nil"/>
              <w:bottom w:val="nil"/>
              <w:right w:val="nil"/>
            </w:tcBorders>
            <w:shd w:val="clear" w:color="000000" w:fill="FFFFFF"/>
            <w:vAlign w:val="center"/>
            <w:hideMark/>
          </w:tcPr>
          <w:p w:rsidR="0042069D" w:rsidRPr="0042069D" w:rsidRDefault="0042069D" w:rsidP="0042069D">
            <w:pPr>
              <w:rPr>
                <w:rFonts w:ascii="Calibri" w:hAnsi="Calibri"/>
                <w:color w:val="000000"/>
                <w:lang w:val="sr-Latn-BA" w:eastAsia="sr-Latn-BA"/>
              </w:rPr>
            </w:pPr>
            <w:r w:rsidRPr="0042069D">
              <w:rPr>
                <w:rFonts w:ascii="Calibri" w:hAnsi="Calibri"/>
                <w:color w:val="000000"/>
                <w:lang w:val="sr-Latn-BA" w:eastAsia="sr-Latn-BA"/>
              </w:rPr>
              <w:t>Obaveze prema Komisiji za hartije od vrijednost Republike Srpske za nadzor nad Fondom</w:t>
            </w:r>
          </w:p>
        </w:tc>
        <w:tc>
          <w:tcPr>
            <w:tcW w:w="1896" w:type="dxa"/>
            <w:tcBorders>
              <w:top w:val="nil"/>
              <w:left w:val="nil"/>
              <w:bottom w:val="nil"/>
              <w:right w:val="nil"/>
            </w:tcBorders>
            <w:shd w:val="clear" w:color="000000" w:fill="FFFFFF"/>
            <w:noWrap/>
            <w:vAlign w:val="bottom"/>
            <w:hideMark/>
          </w:tcPr>
          <w:p w:rsidR="0042069D" w:rsidRPr="0042069D" w:rsidRDefault="0042069D" w:rsidP="009659CB">
            <w:pPr>
              <w:jc w:val="right"/>
              <w:rPr>
                <w:rFonts w:ascii="Calibri" w:hAnsi="Calibri"/>
                <w:color w:val="000000"/>
                <w:lang w:val="sr-Latn-BA" w:eastAsia="sr-Latn-BA"/>
              </w:rPr>
            </w:pPr>
            <w:r w:rsidRPr="0042069D">
              <w:rPr>
                <w:rFonts w:ascii="Calibri" w:hAnsi="Calibri"/>
                <w:color w:val="000000"/>
                <w:lang w:val="sr-Latn-BA" w:eastAsia="sr-Latn-BA"/>
              </w:rPr>
              <w:t xml:space="preserve">                               -      </w:t>
            </w:r>
          </w:p>
        </w:tc>
        <w:tc>
          <w:tcPr>
            <w:tcW w:w="1264" w:type="dxa"/>
            <w:tcBorders>
              <w:top w:val="nil"/>
              <w:left w:val="nil"/>
              <w:bottom w:val="nil"/>
              <w:right w:val="nil"/>
            </w:tcBorders>
            <w:shd w:val="clear" w:color="000000" w:fill="FFFFFF"/>
            <w:noWrap/>
            <w:vAlign w:val="bottom"/>
            <w:hideMark/>
          </w:tcPr>
          <w:p w:rsidR="0042069D" w:rsidRPr="00FA640F" w:rsidRDefault="0042069D" w:rsidP="009659CB">
            <w:pPr>
              <w:jc w:val="right"/>
              <w:rPr>
                <w:rFonts w:ascii="Calibri" w:hAnsi="Calibri"/>
                <w:color w:val="000000"/>
                <w:lang w:val="sr-Latn-BA" w:eastAsia="sr-Latn-BA"/>
              </w:rPr>
            </w:pPr>
            <w:r w:rsidRPr="00FA640F">
              <w:rPr>
                <w:rFonts w:ascii="Calibri" w:hAnsi="Calibri"/>
                <w:color w:val="000000"/>
                <w:lang w:val="sr-Latn-BA" w:eastAsia="sr-Latn-BA"/>
              </w:rPr>
              <w:t xml:space="preserve">                  -      </w:t>
            </w:r>
          </w:p>
        </w:tc>
      </w:tr>
      <w:tr w:rsidR="0042069D" w:rsidRPr="0042069D" w:rsidTr="0042069D">
        <w:trPr>
          <w:trHeight w:val="310"/>
        </w:trPr>
        <w:tc>
          <w:tcPr>
            <w:tcW w:w="6264" w:type="dxa"/>
            <w:tcBorders>
              <w:top w:val="nil"/>
              <w:left w:val="nil"/>
              <w:bottom w:val="nil"/>
              <w:right w:val="nil"/>
            </w:tcBorders>
            <w:shd w:val="clear" w:color="000000" w:fill="FFFFFF"/>
            <w:noWrap/>
            <w:vAlign w:val="bottom"/>
            <w:hideMark/>
          </w:tcPr>
          <w:p w:rsidR="0042069D" w:rsidRPr="0042069D" w:rsidRDefault="0042069D" w:rsidP="0042069D">
            <w:pPr>
              <w:rPr>
                <w:rFonts w:ascii="Calibri" w:hAnsi="Calibri"/>
                <w:color w:val="000000"/>
                <w:lang w:val="sr-Latn-BA" w:eastAsia="sr-Latn-BA"/>
              </w:rPr>
            </w:pPr>
            <w:r w:rsidRPr="0042069D">
              <w:rPr>
                <w:rFonts w:ascii="Calibri" w:hAnsi="Calibri"/>
                <w:color w:val="000000"/>
                <w:lang w:val="sr-Latn-BA" w:eastAsia="sr-Latn-BA"/>
              </w:rPr>
              <w:t>Ostalo</w:t>
            </w:r>
          </w:p>
        </w:tc>
        <w:tc>
          <w:tcPr>
            <w:tcW w:w="1896" w:type="dxa"/>
            <w:tcBorders>
              <w:top w:val="nil"/>
              <w:left w:val="nil"/>
              <w:bottom w:val="nil"/>
              <w:right w:val="nil"/>
            </w:tcBorders>
            <w:shd w:val="clear" w:color="000000" w:fill="FFFFFF"/>
            <w:noWrap/>
            <w:vAlign w:val="bottom"/>
            <w:hideMark/>
          </w:tcPr>
          <w:p w:rsidR="0042069D" w:rsidRPr="0042069D" w:rsidRDefault="0042069D" w:rsidP="009659CB">
            <w:pPr>
              <w:jc w:val="right"/>
              <w:rPr>
                <w:rFonts w:ascii="Calibri" w:hAnsi="Calibri"/>
                <w:color w:val="000000"/>
                <w:lang w:val="sr-Latn-BA" w:eastAsia="sr-Latn-BA"/>
              </w:rPr>
            </w:pPr>
            <w:r w:rsidRPr="0042069D">
              <w:rPr>
                <w:rFonts w:ascii="Calibri" w:hAnsi="Calibri"/>
                <w:color w:val="000000"/>
                <w:lang w:val="sr-Latn-BA" w:eastAsia="sr-Latn-BA"/>
              </w:rPr>
              <w:t xml:space="preserve">                               -      </w:t>
            </w:r>
          </w:p>
        </w:tc>
        <w:tc>
          <w:tcPr>
            <w:tcW w:w="1264" w:type="dxa"/>
            <w:tcBorders>
              <w:top w:val="nil"/>
              <w:left w:val="nil"/>
              <w:bottom w:val="nil"/>
              <w:right w:val="nil"/>
            </w:tcBorders>
            <w:shd w:val="clear" w:color="000000" w:fill="FFFFFF"/>
            <w:noWrap/>
            <w:vAlign w:val="bottom"/>
            <w:hideMark/>
          </w:tcPr>
          <w:p w:rsidR="0042069D" w:rsidRPr="00FA640F" w:rsidRDefault="0042069D" w:rsidP="009659CB">
            <w:pPr>
              <w:jc w:val="right"/>
              <w:rPr>
                <w:rFonts w:ascii="Calibri" w:hAnsi="Calibri"/>
                <w:color w:val="000000"/>
                <w:lang w:val="sr-Latn-BA" w:eastAsia="sr-Latn-BA"/>
              </w:rPr>
            </w:pPr>
            <w:r w:rsidRPr="00FA640F">
              <w:rPr>
                <w:rFonts w:ascii="Calibri" w:hAnsi="Calibri"/>
                <w:color w:val="000000"/>
                <w:lang w:val="sr-Latn-BA" w:eastAsia="sr-Latn-BA"/>
              </w:rPr>
              <w:t xml:space="preserve">                  -      </w:t>
            </w:r>
          </w:p>
        </w:tc>
      </w:tr>
      <w:tr w:rsidR="0042069D" w:rsidRPr="0042069D" w:rsidTr="0042069D">
        <w:trPr>
          <w:trHeight w:val="370"/>
        </w:trPr>
        <w:tc>
          <w:tcPr>
            <w:tcW w:w="6264" w:type="dxa"/>
            <w:tcBorders>
              <w:top w:val="nil"/>
              <w:left w:val="nil"/>
              <w:bottom w:val="nil"/>
              <w:right w:val="nil"/>
            </w:tcBorders>
            <w:shd w:val="clear" w:color="000000" w:fill="FFFFFF"/>
            <w:noWrap/>
            <w:vAlign w:val="bottom"/>
            <w:hideMark/>
          </w:tcPr>
          <w:p w:rsidR="0042069D" w:rsidRPr="0042069D" w:rsidRDefault="0042069D" w:rsidP="0042069D">
            <w:pPr>
              <w:rPr>
                <w:rFonts w:ascii="Calibri" w:hAnsi="Calibri"/>
                <w:b/>
                <w:bCs/>
                <w:color w:val="000000"/>
                <w:lang w:val="sr-Latn-BA" w:eastAsia="sr-Latn-BA"/>
              </w:rPr>
            </w:pPr>
            <w:r w:rsidRPr="0042069D">
              <w:rPr>
                <w:rFonts w:ascii="Calibri" w:hAnsi="Calibri"/>
                <w:b/>
                <w:bCs/>
                <w:color w:val="000000"/>
                <w:lang w:val="sr-Latn-BA" w:eastAsia="sr-Latn-BA"/>
              </w:rPr>
              <w:t>Ukupno obaveze povezana lica</w:t>
            </w:r>
          </w:p>
        </w:tc>
        <w:tc>
          <w:tcPr>
            <w:tcW w:w="1896" w:type="dxa"/>
            <w:tcBorders>
              <w:top w:val="nil"/>
              <w:left w:val="nil"/>
              <w:bottom w:val="nil"/>
              <w:right w:val="nil"/>
            </w:tcBorders>
            <w:shd w:val="clear" w:color="000000" w:fill="FFFFFF"/>
            <w:noWrap/>
            <w:vAlign w:val="bottom"/>
            <w:hideMark/>
          </w:tcPr>
          <w:p w:rsidR="0042069D" w:rsidRPr="0042069D" w:rsidRDefault="0042069D" w:rsidP="009112EB">
            <w:pPr>
              <w:jc w:val="right"/>
              <w:rPr>
                <w:rFonts w:ascii="Calibri" w:hAnsi="Calibri"/>
                <w:b/>
                <w:bCs/>
                <w:color w:val="000000"/>
                <w:u w:val="single"/>
                <w:lang w:val="sr-Latn-BA" w:eastAsia="sr-Latn-BA"/>
              </w:rPr>
            </w:pPr>
            <w:r w:rsidRPr="0042069D">
              <w:rPr>
                <w:rFonts w:ascii="Calibri" w:hAnsi="Calibri"/>
                <w:b/>
                <w:bCs/>
                <w:color w:val="000000"/>
                <w:u w:val="single"/>
                <w:lang w:val="sr-Latn-BA" w:eastAsia="sr-Latn-BA"/>
              </w:rPr>
              <w:t xml:space="preserve">                </w:t>
            </w:r>
            <w:r w:rsidR="009112EB">
              <w:rPr>
                <w:rFonts w:ascii="Calibri" w:hAnsi="Calibri"/>
                <w:b/>
                <w:bCs/>
                <w:color w:val="000000"/>
                <w:u w:val="single"/>
                <w:lang w:val="sr-Latn-BA" w:eastAsia="sr-Latn-BA"/>
              </w:rPr>
              <w:t>8.855</w:t>
            </w:r>
            <w:r w:rsidRPr="0042069D">
              <w:rPr>
                <w:rFonts w:ascii="Calibri" w:hAnsi="Calibri"/>
                <w:b/>
                <w:bCs/>
                <w:color w:val="000000"/>
                <w:u w:val="single"/>
                <w:lang w:val="sr-Latn-BA" w:eastAsia="sr-Latn-BA"/>
              </w:rPr>
              <w:t xml:space="preserve">    </w:t>
            </w:r>
          </w:p>
        </w:tc>
        <w:tc>
          <w:tcPr>
            <w:tcW w:w="1264" w:type="dxa"/>
            <w:tcBorders>
              <w:top w:val="nil"/>
              <w:left w:val="nil"/>
              <w:bottom w:val="nil"/>
              <w:right w:val="nil"/>
            </w:tcBorders>
            <w:shd w:val="clear" w:color="000000" w:fill="FFFFFF"/>
            <w:noWrap/>
            <w:vAlign w:val="bottom"/>
            <w:hideMark/>
          </w:tcPr>
          <w:p w:rsidR="0042069D" w:rsidRPr="00FA640F" w:rsidRDefault="009659CB" w:rsidP="00FA640F">
            <w:pPr>
              <w:jc w:val="right"/>
              <w:rPr>
                <w:rFonts w:ascii="Calibri" w:hAnsi="Calibri"/>
                <w:b/>
                <w:bCs/>
                <w:color w:val="000000"/>
                <w:u w:val="single"/>
                <w:lang w:val="sr-Latn-BA" w:eastAsia="sr-Latn-BA"/>
              </w:rPr>
            </w:pPr>
            <w:r w:rsidRPr="00FA640F">
              <w:rPr>
                <w:rFonts w:ascii="Calibri" w:hAnsi="Calibri"/>
                <w:b/>
                <w:bCs/>
                <w:color w:val="000000"/>
                <w:u w:val="single"/>
                <w:lang w:val="sr-Latn-BA" w:eastAsia="sr-Latn-BA"/>
              </w:rPr>
              <w:t xml:space="preserve">                  </w:t>
            </w:r>
            <w:r w:rsidR="00FA640F" w:rsidRPr="00FA640F">
              <w:rPr>
                <w:rFonts w:ascii="Calibri" w:hAnsi="Calibri"/>
                <w:b/>
                <w:bCs/>
                <w:color w:val="000000"/>
                <w:u w:val="single"/>
                <w:lang w:val="sr-Latn-BA" w:eastAsia="sr-Latn-BA"/>
              </w:rPr>
              <w:t>15.309</w:t>
            </w:r>
            <w:r w:rsidR="00C4309C" w:rsidRPr="00FA640F">
              <w:rPr>
                <w:rFonts w:ascii="Calibri" w:hAnsi="Calibri"/>
                <w:b/>
                <w:bCs/>
                <w:color w:val="000000"/>
                <w:u w:val="single"/>
                <w:lang w:val="sr-Latn-BA" w:eastAsia="sr-Latn-BA"/>
              </w:rPr>
              <w:t xml:space="preserve">    </w:t>
            </w:r>
            <w:r w:rsidR="0042069D" w:rsidRPr="00FA640F">
              <w:rPr>
                <w:rFonts w:ascii="Calibri" w:hAnsi="Calibri"/>
                <w:b/>
                <w:bCs/>
                <w:color w:val="000000"/>
                <w:u w:val="single"/>
                <w:lang w:val="sr-Latn-BA" w:eastAsia="sr-Latn-BA"/>
              </w:rPr>
              <w:t xml:space="preserve">      </w:t>
            </w:r>
          </w:p>
        </w:tc>
      </w:tr>
      <w:tr w:rsidR="0042069D" w:rsidRPr="0042069D" w:rsidTr="0042069D">
        <w:trPr>
          <w:trHeight w:val="290"/>
        </w:trPr>
        <w:tc>
          <w:tcPr>
            <w:tcW w:w="6264" w:type="dxa"/>
            <w:tcBorders>
              <w:top w:val="nil"/>
              <w:left w:val="nil"/>
              <w:bottom w:val="nil"/>
              <w:right w:val="nil"/>
            </w:tcBorders>
            <w:shd w:val="clear" w:color="auto" w:fill="auto"/>
            <w:noWrap/>
            <w:vAlign w:val="bottom"/>
            <w:hideMark/>
          </w:tcPr>
          <w:p w:rsidR="0042069D" w:rsidRPr="0042069D" w:rsidRDefault="0042069D" w:rsidP="0042069D">
            <w:pPr>
              <w:rPr>
                <w:rFonts w:ascii="Calibri" w:hAnsi="Calibri"/>
                <w:color w:val="000000"/>
                <w:sz w:val="22"/>
                <w:szCs w:val="22"/>
                <w:lang w:val="sr-Latn-BA" w:eastAsia="sr-Latn-BA"/>
              </w:rPr>
            </w:pPr>
          </w:p>
        </w:tc>
        <w:tc>
          <w:tcPr>
            <w:tcW w:w="1896" w:type="dxa"/>
            <w:tcBorders>
              <w:top w:val="nil"/>
              <w:left w:val="nil"/>
              <w:bottom w:val="nil"/>
              <w:right w:val="nil"/>
            </w:tcBorders>
            <w:shd w:val="clear" w:color="auto" w:fill="auto"/>
            <w:noWrap/>
            <w:vAlign w:val="bottom"/>
            <w:hideMark/>
          </w:tcPr>
          <w:p w:rsidR="0042069D" w:rsidRPr="0042069D" w:rsidRDefault="0042069D" w:rsidP="0042069D">
            <w:pPr>
              <w:rPr>
                <w:rFonts w:ascii="Calibri" w:hAnsi="Calibri"/>
                <w:color w:val="000000"/>
                <w:sz w:val="22"/>
                <w:szCs w:val="22"/>
                <w:lang w:val="sr-Latn-BA" w:eastAsia="sr-Latn-BA"/>
              </w:rPr>
            </w:pPr>
          </w:p>
        </w:tc>
        <w:tc>
          <w:tcPr>
            <w:tcW w:w="1264" w:type="dxa"/>
            <w:tcBorders>
              <w:top w:val="nil"/>
              <w:left w:val="nil"/>
              <w:bottom w:val="nil"/>
              <w:right w:val="nil"/>
            </w:tcBorders>
            <w:shd w:val="clear" w:color="auto" w:fill="auto"/>
            <w:noWrap/>
            <w:vAlign w:val="bottom"/>
            <w:hideMark/>
          </w:tcPr>
          <w:p w:rsidR="0042069D" w:rsidRPr="0042069D" w:rsidRDefault="0042069D" w:rsidP="0042069D">
            <w:pPr>
              <w:rPr>
                <w:rFonts w:ascii="Calibri" w:hAnsi="Calibri"/>
                <w:color w:val="000000"/>
                <w:sz w:val="22"/>
                <w:szCs w:val="22"/>
                <w:lang w:val="sr-Latn-BA" w:eastAsia="sr-Latn-BA"/>
              </w:rPr>
            </w:pPr>
          </w:p>
        </w:tc>
      </w:tr>
      <w:tr w:rsidR="0042069D" w:rsidRPr="0042069D" w:rsidTr="0042069D">
        <w:trPr>
          <w:trHeight w:val="290"/>
        </w:trPr>
        <w:tc>
          <w:tcPr>
            <w:tcW w:w="6264" w:type="dxa"/>
            <w:tcBorders>
              <w:top w:val="nil"/>
              <w:left w:val="nil"/>
              <w:bottom w:val="nil"/>
              <w:right w:val="nil"/>
            </w:tcBorders>
            <w:shd w:val="clear" w:color="auto" w:fill="auto"/>
            <w:noWrap/>
            <w:vAlign w:val="bottom"/>
            <w:hideMark/>
          </w:tcPr>
          <w:p w:rsidR="0042069D" w:rsidRPr="0042069D" w:rsidRDefault="0042069D" w:rsidP="0042069D">
            <w:pPr>
              <w:rPr>
                <w:rFonts w:ascii="Calibri" w:hAnsi="Calibri"/>
                <w:color w:val="000000"/>
                <w:sz w:val="22"/>
                <w:szCs w:val="22"/>
                <w:lang w:val="sr-Latn-BA" w:eastAsia="sr-Latn-BA"/>
              </w:rPr>
            </w:pPr>
          </w:p>
        </w:tc>
        <w:tc>
          <w:tcPr>
            <w:tcW w:w="1896" w:type="dxa"/>
            <w:tcBorders>
              <w:top w:val="nil"/>
              <w:left w:val="nil"/>
              <w:bottom w:val="nil"/>
              <w:right w:val="nil"/>
            </w:tcBorders>
            <w:shd w:val="clear" w:color="auto" w:fill="auto"/>
            <w:noWrap/>
            <w:vAlign w:val="bottom"/>
            <w:hideMark/>
          </w:tcPr>
          <w:p w:rsidR="0042069D" w:rsidRPr="0042069D" w:rsidRDefault="0042069D" w:rsidP="0042069D">
            <w:pPr>
              <w:rPr>
                <w:rFonts w:ascii="Calibri" w:hAnsi="Calibri"/>
                <w:color w:val="000000"/>
                <w:sz w:val="22"/>
                <w:szCs w:val="22"/>
                <w:lang w:val="sr-Latn-BA" w:eastAsia="sr-Latn-BA"/>
              </w:rPr>
            </w:pPr>
          </w:p>
        </w:tc>
        <w:tc>
          <w:tcPr>
            <w:tcW w:w="1264" w:type="dxa"/>
            <w:tcBorders>
              <w:top w:val="nil"/>
              <w:left w:val="nil"/>
              <w:bottom w:val="nil"/>
              <w:right w:val="nil"/>
            </w:tcBorders>
            <w:shd w:val="clear" w:color="auto" w:fill="auto"/>
            <w:noWrap/>
            <w:vAlign w:val="bottom"/>
            <w:hideMark/>
          </w:tcPr>
          <w:p w:rsidR="0042069D" w:rsidRPr="0042069D" w:rsidRDefault="0042069D" w:rsidP="0042069D">
            <w:pPr>
              <w:rPr>
                <w:rFonts w:ascii="Calibri" w:hAnsi="Calibri"/>
                <w:color w:val="000000"/>
                <w:sz w:val="22"/>
                <w:szCs w:val="22"/>
                <w:lang w:val="sr-Latn-BA" w:eastAsia="sr-Latn-BA"/>
              </w:rPr>
            </w:pPr>
          </w:p>
        </w:tc>
      </w:tr>
    </w:tbl>
    <w:p w:rsidR="000C483E" w:rsidRPr="0042069D" w:rsidRDefault="000C483E" w:rsidP="0042069D">
      <w:pPr>
        <w:rPr>
          <w:rFonts w:ascii="Calibri" w:hAnsi="Calibri" w:cs="Calibri"/>
          <w:b/>
          <w:noProof/>
        </w:rPr>
      </w:pPr>
    </w:p>
    <w:p w:rsidR="000C483E" w:rsidRPr="00A47E7E" w:rsidRDefault="000C483E" w:rsidP="000C483E">
      <w:pPr>
        <w:pStyle w:val="Heading1"/>
        <w:rPr>
          <w:rFonts w:ascii="Calibri" w:hAnsi="Calibri" w:cs="Calibri"/>
          <w:noProof/>
          <w:sz w:val="24"/>
          <w:szCs w:val="24"/>
        </w:rPr>
      </w:pPr>
      <w:bookmarkStart w:id="34" w:name="_Toc506645336"/>
      <w:bookmarkStart w:id="35" w:name="_Toc64534462"/>
      <w:r w:rsidRPr="00A47E7E">
        <w:rPr>
          <w:rFonts w:ascii="Calibri" w:hAnsi="Calibri" w:cs="Calibri"/>
          <w:noProof/>
          <w:sz w:val="24"/>
          <w:szCs w:val="24"/>
        </w:rPr>
        <w:t>SUDSKI SPOROVI</w:t>
      </w:r>
      <w:bookmarkEnd w:id="34"/>
      <w:bookmarkEnd w:id="35"/>
    </w:p>
    <w:p w:rsidR="000C483E" w:rsidRPr="00A47E7E" w:rsidRDefault="00FB660E" w:rsidP="000C483E">
      <w:pPr>
        <w:tabs>
          <w:tab w:val="left" w:pos="-1440"/>
          <w:tab w:val="left" w:pos="-720"/>
          <w:tab w:val="left" w:pos="1094"/>
          <w:tab w:val="left" w:pos="4514"/>
          <w:tab w:val="right" w:pos="5472"/>
          <w:tab w:val="left" w:pos="5677"/>
          <w:tab w:val="right" w:pos="6635"/>
          <w:tab w:val="left" w:pos="6840"/>
          <w:tab w:val="right" w:pos="7729"/>
          <w:tab w:val="left" w:pos="7934"/>
          <w:tab w:val="right" w:pos="8960"/>
        </w:tabs>
        <w:jc w:val="both"/>
        <w:rPr>
          <w:rFonts w:ascii="Calibri" w:hAnsi="Calibri" w:cs="Calibri"/>
          <w:noProof/>
        </w:rPr>
      </w:pPr>
      <w:r>
        <w:rPr>
          <w:rFonts w:ascii="Calibri" w:hAnsi="Calibri" w:cs="Calibri"/>
          <w:noProof/>
        </w:rPr>
        <w:t>Na dan 31</w:t>
      </w:r>
      <w:r w:rsidR="000C483E" w:rsidRPr="00A47E7E">
        <w:rPr>
          <w:rFonts w:ascii="Calibri" w:hAnsi="Calibri" w:cs="Calibri"/>
          <w:noProof/>
        </w:rPr>
        <w:t xml:space="preserve">. </w:t>
      </w:r>
      <w:r w:rsidR="009112EB">
        <w:rPr>
          <w:rFonts w:ascii="Calibri" w:hAnsi="Calibri" w:cs="Calibri"/>
          <w:noProof/>
        </w:rPr>
        <w:t>mart 2021</w:t>
      </w:r>
      <w:r w:rsidR="000C483E" w:rsidRPr="00A47E7E">
        <w:rPr>
          <w:rFonts w:ascii="Calibri" w:hAnsi="Calibri" w:cs="Calibri"/>
          <w:noProof/>
        </w:rPr>
        <w:t xml:space="preserve">. godine Fond nije imao sudskih sporova u kojima je tužena strana, niti je vodilo sudske sporove protiv svojih dužnika. </w:t>
      </w:r>
    </w:p>
    <w:p w:rsidR="000C483E" w:rsidRDefault="000C483E" w:rsidP="000C483E">
      <w:pPr>
        <w:pStyle w:val="ListParagraph"/>
        <w:rPr>
          <w:rFonts w:ascii="Calibri" w:hAnsi="Calibri" w:cs="Calibri"/>
          <w:b/>
          <w:noProof/>
        </w:rPr>
      </w:pPr>
    </w:p>
    <w:p w:rsidR="0010199A" w:rsidRPr="00A47E7E" w:rsidRDefault="0010199A" w:rsidP="000C483E">
      <w:pPr>
        <w:pStyle w:val="ListParagraph"/>
        <w:rPr>
          <w:rFonts w:ascii="Calibri" w:hAnsi="Calibri" w:cs="Calibri"/>
          <w:b/>
          <w:noProof/>
        </w:rPr>
      </w:pPr>
    </w:p>
    <w:p w:rsidR="007C5F3F" w:rsidRPr="0010199A" w:rsidRDefault="000C483E" w:rsidP="00273248">
      <w:pPr>
        <w:pStyle w:val="Heading1"/>
        <w:rPr>
          <w:rFonts w:ascii="Calibri" w:hAnsi="Calibri" w:cs="Calibri"/>
          <w:noProof/>
          <w:sz w:val="24"/>
          <w:szCs w:val="24"/>
        </w:rPr>
      </w:pPr>
      <w:bookmarkStart w:id="36" w:name="_Toc506645337"/>
      <w:bookmarkStart w:id="37" w:name="_Toc64534463"/>
      <w:r w:rsidRPr="006D0F71">
        <w:rPr>
          <w:rFonts w:ascii="Calibri" w:hAnsi="Calibri" w:cs="Calibri"/>
          <w:noProof/>
          <w:sz w:val="24"/>
          <w:szCs w:val="24"/>
        </w:rPr>
        <w:t>TEKUĆA EKONOMSKA SITUACIJA I NJEN UTICAJ NA POSLOVANJE</w:t>
      </w:r>
      <w:bookmarkEnd w:id="36"/>
      <w:bookmarkEnd w:id="37"/>
    </w:p>
    <w:p w:rsidR="0010199A" w:rsidRPr="00194498" w:rsidRDefault="0010199A" w:rsidP="0010199A">
      <w:pPr>
        <w:jc w:val="both"/>
        <w:rPr>
          <w:rFonts w:ascii="Calibri" w:hAnsi="Calibri" w:cs="Calibri"/>
        </w:rPr>
      </w:pPr>
      <w:r w:rsidRPr="00194498">
        <w:rPr>
          <w:rFonts w:ascii="Calibri" w:hAnsi="Calibri" w:cs="Calibri"/>
        </w:rPr>
        <w:t xml:space="preserve">Fond je </w:t>
      </w:r>
      <w:proofErr w:type="spellStart"/>
      <w:r w:rsidRPr="00194498">
        <w:rPr>
          <w:rFonts w:ascii="Calibri" w:hAnsi="Calibri" w:cs="Calibri"/>
        </w:rPr>
        <w:t>osnovan</w:t>
      </w:r>
      <w:proofErr w:type="spellEnd"/>
      <w:r w:rsidRPr="00194498">
        <w:rPr>
          <w:rFonts w:ascii="Calibri" w:hAnsi="Calibri" w:cs="Calibri"/>
        </w:rPr>
        <w:t xml:space="preserve"> </w:t>
      </w:r>
      <w:proofErr w:type="spellStart"/>
      <w:r w:rsidRPr="00194498">
        <w:rPr>
          <w:rFonts w:ascii="Calibri" w:hAnsi="Calibri" w:cs="Calibri"/>
        </w:rPr>
        <w:t>kao</w:t>
      </w:r>
      <w:proofErr w:type="spellEnd"/>
      <w:r w:rsidRPr="00194498">
        <w:rPr>
          <w:rFonts w:ascii="Calibri" w:hAnsi="Calibri" w:cs="Calibri"/>
        </w:rPr>
        <w:t xml:space="preserve"> </w:t>
      </w:r>
      <w:proofErr w:type="spellStart"/>
      <w:r w:rsidRPr="00194498">
        <w:rPr>
          <w:rFonts w:ascii="Calibri" w:hAnsi="Calibri" w:cs="Calibri"/>
        </w:rPr>
        <w:t>otvoreni</w:t>
      </w:r>
      <w:proofErr w:type="spellEnd"/>
      <w:r w:rsidRPr="00194498">
        <w:rPr>
          <w:rFonts w:ascii="Calibri" w:hAnsi="Calibri" w:cs="Calibri"/>
        </w:rPr>
        <w:t xml:space="preserve"> </w:t>
      </w:r>
      <w:proofErr w:type="spellStart"/>
      <w:r w:rsidRPr="00194498">
        <w:rPr>
          <w:rFonts w:ascii="Calibri" w:hAnsi="Calibri" w:cs="Calibri"/>
        </w:rPr>
        <w:t>novčani</w:t>
      </w:r>
      <w:proofErr w:type="spellEnd"/>
      <w:r w:rsidRPr="00194498">
        <w:rPr>
          <w:rFonts w:ascii="Calibri" w:hAnsi="Calibri" w:cs="Calibri"/>
        </w:rPr>
        <w:t xml:space="preserve"> fond </w:t>
      </w:r>
      <w:proofErr w:type="spellStart"/>
      <w:r w:rsidRPr="00194498">
        <w:rPr>
          <w:rFonts w:ascii="Calibri" w:hAnsi="Calibri" w:cs="Calibri"/>
        </w:rPr>
        <w:t>sa</w:t>
      </w:r>
      <w:proofErr w:type="spellEnd"/>
      <w:r w:rsidRPr="00194498">
        <w:rPr>
          <w:rFonts w:ascii="Calibri" w:hAnsi="Calibri" w:cs="Calibri"/>
        </w:rPr>
        <w:t xml:space="preserve"> </w:t>
      </w:r>
      <w:proofErr w:type="spellStart"/>
      <w:r w:rsidRPr="00194498">
        <w:rPr>
          <w:rFonts w:ascii="Calibri" w:hAnsi="Calibri" w:cs="Calibri"/>
        </w:rPr>
        <w:t>ciljnom</w:t>
      </w:r>
      <w:proofErr w:type="spellEnd"/>
      <w:r w:rsidRPr="00194498">
        <w:rPr>
          <w:rFonts w:ascii="Calibri" w:hAnsi="Calibri" w:cs="Calibri"/>
        </w:rPr>
        <w:t xml:space="preserve"> </w:t>
      </w:r>
      <w:proofErr w:type="spellStart"/>
      <w:r w:rsidRPr="00194498">
        <w:rPr>
          <w:rFonts w:ascii="Calibri" w:hAnsi="Calibri" w:cs="Calibri"/>
        </w:rPr>
        <w:t>strukturom</w:t>
      </w:r>
      <w:proofErr w:type="spellEnd"/>
      <w:r w:rsidRPr="00194498">
        <w:rPr>
          <w:rFonts w:ascii="Calibri" w:hAnsi="Calibri" w:cs="Calibri"/>
        </w:rPr>
        <w:t xml:space="preserve"> </w:t>
      </w:r>
      <w:proofErr w:type="spellStart"/>
      <w:r w:rsidRPr="00194498">
        <w:rPr>
          <w:rFonts w:ascii="Calibri" w:hAnsi="Calibri" w:cs="Calibri"/>
        </w:rPr>
        <w:t>ulaganja</w:t>
      </w:r>
      <w:proofErr w:type="spellEnd"/>
      <w:r w:rsidRPr="00194498">
        <w:rPr>
          <w:rFonts w:ascii="Calibri" w:hAnsi="Calibri" w:cs="Calibri"/>
        </w:rPr>
        <w:t xml:space="preserve"> u </w:t>
      </w:r>
      <w:proofErr w:type="spellStart"/>
      <w:r w:rsidRPr="00194498">
        <w:rPr>
          <w:rFonts w:ascii="Calibri" w:hAnsi="Calibri" w:cs="Calibri"/>
        </w:rPr>
        <w:t>novčana</w:t>
      </w:r>
      <w:proofErr w:type="spellEnd"/>
      <w:r w:rsidRPr="00194498">
        <w:rPr>
          <w:rFonts w:ascii="Calibri" w:hAnsi="Calibri" w:cs="Calibri"/>
        </w:rPr>
        <w:t xml:space="preserve"> </w:t>
      </w:r>
      <w:proofErr w:type="spellStart"/>
      <w:r w:rsidRPr="00194498">
        <w:rPr>
          <w:rFonts w:ascii="Calibri" w:hAnsi="Calibri" w:cs="Calibri"/>
        </w:rPr>
        <w:t>sredstva</w:t>
      </w:r>
      <w:proofErr w:type="spellEnd"/>
      <w:r w:rsidRPr="00194498">
        <w:rPr>
          <w:rFonts w:ascii="Calibri" w:hAnsi="Calibri" w:cs="Calibri"/>
        </w:rPr>
        <w:t xml:space="preserve">, </w:t>
      </w:r>
      <w:proofErr w:type="spellStart"/>
      <w:r w:rsidRPr="00194498">
        <w:rPr>
          <w:rFonts w:ascii="Calibri" w:hAnsi="Calibri" w:cs="Calibri"/>
        </w:rPr>
        <w:t>instrumente</w:t>
      </w:r>
      <w:proofErr w:type="spellEnd"/>
      <w:r w:rsidRPr="00194498">
        <w:rPr>
          <w:rFonts w:ascii="Calibri" w:hAnsi="Calibri" w:cs="Calibri"/>
        </w:rPr>
        <w:t xml:space="preserve"> </w:t>
      </w:r>
      <w:proofErr w:type="spellStart"/>
      <w:r w:rsidRPr="00194498">
        <w:rPr>
          <w:rFonts w:ascii="Calibri" w:hAnsi="Calibri" w:cs="Calibri"/>
        </w:rPr>
        <w:t>tržišta</w:t>
      </w:r>
      <w:proofErr w:type="spellEnd"/>
      <w:r w:rsidRPr="00194498">
        <w:rPr>
          <w:rFonts w:ascii="Calibri" w:hAnsi="Calibri" w:cs="Calibri"/>
        </w:rPr>
        <w:t xml:space="preserve"> </w:t>
      </w:r>
      <w:proofErr w:type="spellStart"/>
      <w:r w:rsidRPr="00194498">
        <w:rPr>
          <w:rFonts w:ascii="Calibri" w:hAnsi="Calibri" w:cs="Calibri"/>
        </w:rPr>
        <w:t>novca</w:t>
      </w:r>
      <w:proofErr w:type="spellEnd"/>
      <w:r w:rsidRPr="00194498">
        <w:rPr>
          <w:rFonts w:ascii="Calibri" w:hAnsi="Calibri" w:cs="Calibri"/>
        </w:rPr>
        <w:t xml:space="preserve"> </w:t>
      </w:r>
      <w:proofErr w:type="spellStart"/>
      <w:r w:rsidRPr="00194498">
        <w:rPr>
          <w:rFonts w:ascii="Calibri" w:hAnsi="Calibri" w:cs="Calibri"/>
        </w:rPr>
        <w:t>i</w:t>
      </w:r>
      <w:proofErr w:type="spellEnd"/>
      <w:r w:rsidRPr="00194498">
        <w:rPr>
          <w:rFonts w:ascii="Calibri" w:hAnsi="Calibri" w:cs="Calibri"/>
        </w:rPr>
        <w:t xml:space="preserve"> </w:t>
      </w:r>
      <w:proofErr w:type="spellStart"/>
      <w:r w:rsidRPr="00194498">
        <w:rPr>
          <w:rFonts w:ascii="Calibri" w:hAnsi="Calibri" w:cs="Calibri"/>
        </w:rPr>
        <w:t>ekvivalente</w:t>
      </w:r>
      <w:proofErr w:type="spellEnd"/>
      <w:r w:rsidRPr="00194498">
        <w:rPr>
          <w:rFonts w:ascii="Calibri" w:hAnsi="Calibri" w:cs="Calibri"/>
        </w:rPr>
        <w:t xml:space="preserve"> </w:t>
      </w:r>
      <w:proofErr w:type="spellStart"/>
      <w:r w:rsidRPr="00194498">
        <w:rPr>
          <w:rFonts w:ascii="Calibri" w:hAnsi="Calibri" w:cs="Calibri"/>
        </w:rPr>
        <w:t>novca</w:t>
      </w:r>
      <w:proofErr w:type="spellEnd"/>
      <w:r w:rsidRPr="00194498">
        <w:rPr>
          <w:rFonts w:ascii="Calibri" w:hAnsi="Calibri" w:cs="Calibri"/>
        </w:rPr>
        <w:t xml:space="preserve"> u </w:t>
      </w:r>
      <w:proofErr w:type="spellStart"/>
      <w:r w:rsidRPr="00194498">
        <w:rPr>
          <w:rFonts w:ascii="Calibri" w:hAnsi="Calibri" w:cs="Calibri"/>
        </w:rPr>
        <w:t>intervalu</w:t>
      </w:r>
      <w:proofErr w:type="spellEnd"/>
      <w:r w:rsidRPr="00194498">
        <w:rPr>
          <w:rFonts w:ascii="Calibri" w:hAnsi="Calibri" w:cs="Calibri"/>
        </w:rPr>
        <w:t xml:space="preserve"> od 70% </w:t>
      </w:r>
      <w:proofErr w:type="spellStart"/>
      <w:r w:rsidRPr="00194498">
        <w:rPr>
          <w:rFonts w:ascii="Calibri" w:hAnsi="Calibri" w:cs="Calibri"/>
        </w:rPr>
        <w:t>do</w:t>
      </w:r>
      <w:proofErr w:type="spellEnd"/>
      <w:r w:rsidRPr="00194498">
        <w:rPr>
          <w:rFonts w:ascii="Calibri" w:hAnsi="Calibri" w:cs="Calibri"/>
        </w:rPr>
        <w:t xml:space="preserve"> 99</w:t>
      </w:r>
      <w:proofErr w:type="gramStart"/>
      <w:r w:rsidRPr="00194498">
        <w:rPr>
          <w:rFonts w:ascii="Calibri" w:hAnsi="Calibri" w:cs="Calibri"/>
        </w:rPr>
        <w:t>,99</w:t>
      </w:r>
      <w:proofErr w:type="gramEnd"/>
      <w:r w:rsidRPr="00194498">
        <w:rPr>
          <w:rFonts w:ascii="Calibri" w:hAnsi="Calibri" w:cs="Calibri"/>
        </w:rPr>
        <w:t xml:space="preserve">% </w:t>
      </w:r>
      <w:proofErr w:type="spellStart"/>
      <w:r w:rsidRPr="00194498">
        <w:rPr>
          <w:rFonts w:ascii="Calibri" w:hAnsi="Calibri" w:cs="Calibri"/>
        </w:rPr>
        <w:t>ukupnih</w:t>
      </w:r>
      <w:proofErr w:type="spellEnd"/>
      <w:r w:rsidRPr="00194498">
        <w:rPr>
          <w:rFonts w:ascii="Calibri" w:hAnsi="Calibri" w:cs="Calibri"/>
        </w:rPr>
        <w:t xml:space="preserve"> </w:t>
      </w:r>
      <w:proofErr w:type="spellStart"/>
      <w:r w:rsidRPr="00194498">
        <w:rPr>
          <w:rFonts w:ascii="Calibri" w:hAnsi="Calibri" w:cs="Calibri"/>
        </w:rPr>
        <w:t>ulaganja</w:t>
      </w:r>
      <w:proofErr w:type="spellEnd"/>
      <w:r w:rsidRPr="00194498">
        <w:rPr>
          <w:rFonts w:ascii="Calibri" w:hAnsi="Calibri" w:cs="Calibri"/>
        </w:rPr>
        <w:t xml:space="preserve">. </w:t>
      </w:r>
      <w:proofErr w:type="spellStart"/>
      <w:r w:rsidRPr="00194498">
        <w:rPr>
          <w:rFonts w:ascii="Calibri" w:hAnsi="Calibri" w:cs="Calibri"/>
        </w:rPr>
        <w:t>Ekonomska</w:t>
      </w:r>
      <w:proofErr w:type="spellEnd"/>
      <w:r w:rsidRPr="00194498">
        <w:rPr>
          <w:rFonts w:ascii="Calibri" w:hAnsi="Calibri" w:cs="Calibri"/>
        </w:rPr>
        <w:t xml:space="preserve"> </w:t>
      </w:r>
      <w:proofErr w:type="spellStart"/>
      <w:r w:rsidRPr="00194498">
        <w:rPr>
          <w:rFonts w:ascii="Calibri" w:hAnsi="Calibri" w:cs="Calibri"/>
        </w:rPr>
        <w:t>situacija</w:t>
      </w:r>
      <w:proofErr w:type="spellEnd"/>
      <w:r w:rsidRPr="00194498">
        <w:rPr>
          <w:rFonts w:ascii="Calibri" w:hAnsi="Calibri" w:cs="Calibri"/>
        </w:rPr>
        <w:t xml:space="preserve"> u </w:t>
      </w:r>
      <w:proofErr w:type="spellStart"/>
      <w:r w:rsidRPr="00194498">
        <w:rPr>
          <w:rFonts w:ascii="Calibri" w:hAnsi="Calibri" w:cs="Calibri"/>
        </w:rPr>
        <w:t>Republici</w:t>
      </w:r>
      <w:proofErr w:type="spellEnd"/>
      <w:r w:rsidRPr="00194498">
        <w:rPr>
          <w:rFonts w:ascii="Calibri" w:hAnsi="Calibri" w:cs="Calibri"/>
        </w:rPr>
        <w:t xml:space="preserve"> </w:t>
      </w:r>
      <w:proofErr w:type="spellStart"/>
      <w:r w:rsidRPr="00194498">
        <w:rPr>
          <w:rFonts w:ascii="Calibri" w:hAnsi="Calibri" w:cs="Calibri"/>
        </w:rPr>
        <w:t>Srpskoj</w:t>
      </w:r>
      <w:proofErr w:type="spellEnd"/>
      <w:r w:rsidRPr="00194498">
        <w:rPr>
          <w:rFonts w:ascii="Calibri" w:hAnsi="Calibri" w:cs="Calibri"/>
        </w:rPr>
        <w:t xml:space="preserve"> </w:t>
      </w:r>
      <w:proofErr w:type="spellStart"/>
      <w:r w:rsidRPr="00194498">
        <w:rPr>
          <w:rFonts w:ascii="Calibri" w:hAnsi="Calibri" w:cs="Calibri"/>
        </w:rPr>
        <w:t>može</w:t>
      </w:r>
      <w:proofErr w:type="spellEnd"/>
      <w:r w:rsidRPr="00194498">
        <w:rPr>
          <w:rFonts w:ascii="Calibri" w:hAnsi="Calibri" w:cs="Calibri"/>
        </w:rPr>
        <w:t xml:space="preserve"> </w:t>
      </w:r>
      <w:proofErr w:type="spellStart"/>
      <w:r w:rsidRPr="00194498">
        <w:rPr>
          <w:rFonts w:ascii="Calibri" w:hAnsi="Calibri" w:cs="Calibri"/>
        </w:rPr>
        <w:t>uticati</w:t>
      </w:r>
      <w:proofErr w:type="spellEnd"/>
      <w:r w:rsidRPr="00194498">
        <w:rPr>
          <w:rFonts w:ascii="Calibri" w:hAnsi="Calibri" w:cs="Calibri"/>
        </w:rPr>
        <w:t xml:space="preserve"> </w:t>
      </w:r>
      <w:proofErr w:type="spellStart"/>
      <w:proofErr w:type="gramStart"/>
      <w:r w:rsidRPr="00194498">
        <w:rPr>
          <w:rFonts w:ascii="Calibri" w:hAnsi="Calibri" w:cs="Calibri"/>
        </w:rPr>
        <w:t>na</w:t>
      </w:r>
      <w:proofErr w:type="spellEnd"/>
      <w:proofErr w:type="gramEnd"/>
      <w:r w:rsidRPr="00194498">
        <w:rPr>
          <w:rFonts w:ascii="Calibri" w:hAnsi="Calibri" w:cs="Calibri"/>
        </w:rPr>
        <w:t xml:space="preserve"> </w:t>
      </w:r>
      <w:proofErr w:type="spellStart"/>
      <w:r w:rsidRPr="00194498">
        <w:rPr>
          <w:rFonts w:ascii="Calibri" w:hAnsi="Calibri" w:cs="Calibri"/>
        </w:rPr>
        <w:t>zainteresovanost</w:t>
      </w:r>
      <w:proofErr w:type="spellEnd"/>
      <w:r w:rsidRPr="00194498">
        <w:rPr>
          <w:rFonts w:ascii="Calibri" w:hAnsi="Calibri" w:cs="Calibri"/>
        </w:rPr>
        <w:t xml:space="preserve"> </w:t>
      </w:r>
      <w:proofErr w:type="spellStart"/>
      <w:r w:rsidRPr="00194498">
        <w:rPr>
          <w:rFonts w:ascii="Calibri" w:hAnsi="Calibri" w:cs="Calibri"/>
        </w:rPr>
        <w:t>investitora</w:t>
      </w:r>
      <w:proofErr w:type="spellEnd"/>
      <w:r w:rsidRPr="00194498">
        <w:rPr>
          <w:rFonts w:ascii="Calibri" w:hAnsi="Calibri" w:cs="Calibri"/>
        </w:rPr>
        <w:t xml:space="preserve"> </w:t>
      </w:r>
      <w:proofErr w:type="spellStart"/>
      <w:r w:rsidRPr="00194498">
        <w:rPr>
          <w:rFonts w:ascii="Calibri" w:hAnsi="Calibri" w:cs="Calibri"/>
        </w:rPr>
        <w:t>i</w:t>
      </w:r>
      <w:proofErr w:type="spellEnd"/>
      <w:r w:rsidRPr="00194498">
        <w:rPr>
          <w:rFonts w:ascii="Calibri" w:hAnsi="Calibri" w:cs="Calibri"/>
        </w:rPr>
        <w:t xml:space="preserve"> </w:t>
      </w:r>
      <w:proofErr w:type="spellStart"/>
      <w:r w:rsidRPr="00194498">
        <w:rPr>
          <w:rFonts w:ascii="Calibri" w:hAnsi="Calibri" w:cs="Calibri"/>
        </w:rPr>
        <w:t>drugih</w:t>
      </w:r>
      <w:proofErr w:type="spellEnd"/>
      <w:r w:rsidRPr="00194498">
        <w:rPr>
          <w:rFonts w:ascii="Calibri" w:hAnsi="Calibri" w:cs="Calibri"/>
        </w:rPr>
        <w:t xml:space="preserve"> </w:t>
      </w:r>
      <w:proofErr w:type="spellStart"/>
      <w:r w:rsidRPr="00194498">
        <w:rPr>
          <w:rFonts w:ascii="Calibri" w:hAnsi="Calibri" w:cs="Calibri"/>
        </w:rPr>
        <w:t>učesnika</w:t>
      </w:r>
      <w:proofErr w:type="spellEnd"/>
      <w:r w:rsidRPr="00194498">
        <w:rPr>
          <w:rFonts w:ascii="Calibri" w:hAnsi="Calibri" w:cs="Calibri"/>
        </w:rPr>
        <w:t xml:space="preserve"> </w:t>
      </w:r>
      <w:proofErr w:type="spellStart"/>
      <w:r w:rsidRPr="00194498">
        <w:rPr>
          <w:rFonts w:ascii="Calibri" w:hAnsi="Calibri" w:cs="Calibri"/>
        </w:rPr>
        <w:t>tržišta</w:t>
      </w:r>
      <w:proofErr w:type="spellEnd"/>
      <w:r w:rsidRPr="00194498">
        <w:rPr>
          <w:rFonts w:ascii="Calibri" w:hAnsi="Calibri" w:cs="Calibri"/>
        </w:rPr>
        <w:t xml:space="preserve"> </w:t>
      </w:r>
      <w:proofErr w:type="spellStart"/>
      <w:r w:rsidRPr="00194498">
        <w:rPr>
          <w:rFonts w:ascii="Calibri" w:hAnsi="Calibri" w:cs="Calibri"/>
        </w:rPr>
        <w:t>kapitala</w:t>
      </w:r>
      <w:proofErr w:type="spellEnd"/>
      <w:r w:rsidRPr="00194498">
        <w:rPr>
          <w:rFonts w:ascii="Calibri" w:hAnsi="Calibri" w:cs="Calibri"/>
        </w:rPr>
        <w:t xml:space="preserve"> </w:t>
      </w:r>
      <w:proofErr w:type="spellStart"/>
      <w:r w:rsidRPr="00194498">
        <w:rPr>
          <w:rFonts w:ascii="Calibri" w:hAnsi="Calibri" w:cs="Calibri"/>
        </w:rPr>
        <w:t>i</w:t>
      </w:r>
      <w:proofErr w:type="spellEnd"/>
      <w:r w:rsidRPr="00194498">
        <w:rPr>
          <w:rFonts w:ascii="Calibri" w:hAnsi="Calibri" w:cs="Calibri"/>
        </w:rPr>
        <w:t xml:space="preserve"> </w:t>
      </w:r>
      <w:proofErr w:type="spellStart"/>
      <w:r w:rsidRPr="00194498">
        <w:rPr>
          <w:rFonts w:ascii="Calibri" w:hAnsi="Calibri" w:cs="Calibri"/>
        </w:rPr>
        <w:t>novca</w:t>
      </w:r>
      <w:proofErr w:type="spellEnd"/>
      <w:r w:rsidRPr="00194498">
        <w:rPr>
          <w:rFonts w:ascii="Calibri" w:hAnsi="Calibri" w:cs="Calibri"/>
        </w:rPr>
        <w:t xml:space="preserve">, </w:t>
      </w:r>
      <w:proofErr w:type="spellStart"/>
      <w:r w:rsidRPr="00194498">
        <w:rPr>
          <w:rFonts w:ascii="Calibri" w:hAnsi="Calibri" w:cs="Calibri"/>
        </w:rPr>
        <w:t>što</w:t>
      </w:r>
      <w:proofErr w:type="spellEnd"/>
      <w:r w:rsidRPr="00194498">
        <w:rPr>
          <w:rFonts w:ascii="Calibri" w:hAnsi="Calibri" w:cs="Calibri"/>
        </w:rPr>
        <w:t xml:space="preserve"> </w:t>
      </w:r>
      <w:proofErr w:type="spellStart"/>
      <w:r w:rsidRPr="00194498">
        <w:rPr>
          <w:rFonts w:ascii="Calibri" w:hAnsi="Calibri" w:cs="Calibri"/>
        </w:rPr>
        <w:t>može</w:t>
      </w:r>
      <w:proofErr w:type="spellEnd"/>
      <w:r w:rsidRPr="00194498">
        <w:rPr>
          <w:rFonts w:ascii="Calibri" w:hAnsi="Calibri" w:cs="Calibri"/>
        </w:rPr>
        <w:t xml:space="preserve"> </w:t>
      </w:r>
      <w:proofErr w:type="spellStart"/>
      <w:r w:rsidRPr="00194498">
        <w:rPr>
          <w:rFonts w:ascii="Calibri" w:hAnsi="Calibri" w:cs="Calibri"/>
        </w:rPr>
        <w:t>uticati</w:t>
      </w:r>
      <w:proofErr w:type="spellEnd"/>
      <w:r w:rsidRPr="00194498">
        <w:rPr>
          <w:rFonts w:ascii="Calibri" w:hAnsi="Calibri" w:cs="Calibri"/>
        </w:rPr>
        <w:t xml:space="preserve"> </w:t>
      </w:r>
      <w:proofErr w:type="spellStart"/>
      <w:r w:rsidRPr="00194498">
        <w:rPr>
          <w:rFonts w:ascii="Calibri" w:hAnsi="Calibri" w:cs="Calibri"/>
        </w:rPr>
        <w:t>na</w:t>
      </w:r>
      <w:proofErr w:type="spellEnd"/>
      <w:r w:rsidRPr="00194498">
        <w:rPr>
          <w:rFonts w:ascii="Calibri" w:hAnsi="Calibri" w:cs="Calibri"/>
        </w:rPr>
        <w:t xml:space="preserve"> </w:t>
      </w:r>
      <w:proofErr w:type="spellStart"/>
      <w:r w:rsidRPr="00194498">
        <w:rPr>
          <w:rFonts w:ascii="Calibri" w:hAnsi="Calibri" w:cs="Calibri"/>
        </w:rPr>
        <w:t>promjene</w:t>
      </w:r>
      <w:proofErr w:type="spellEnd"/>
      <w:r w:rsidRPr="00194498">
        <w:rPr>
          <w:rFonts w:ascii="Calibri" w:hAnsi="Calibri" w:cs="Calibri"/>
        </w:rPr>
        <w:t xml:space="preserve"> </w:t>
      </w:r>
      <w:proofErr w:type="spellStart"/>
      <w:r w:rsidRPr="00194498">
        <w:rPr>
          <w:rFonts w:ascii="Calibri" w:hAnsi="Calibri" w:cs="Calibri"/>
        </w:rPr>
        <w:t>vrijednosti</w:t>
      </w:r>
      <w:proofErr w:type="spellEnd"/>
      <w:r w:rsidRPr="00194498">
        <w:rPr>
          <w:rFonts w:ascii="Calibri" w:hAnsi="Calibri" w:cs="Calibri"/>
        </w:rPr>
        <w:t xml:space="preserve"> </w:t>
      </w:r>
      <w:proofErr w:type="spellStart"/>
      <w:r w:rsidRPr="00194498">
        <w:rPr>
          <w:rFonts w:ascii="Calibri" w:hAnsi="Calibri" w:cs="Calibri"/>
        </w:rPr>
        <w:t>hartija</w:t>
      </w:r>
      <w:proofErr w:type="spellEnd"/>
      <w:r w:rsidRPr="00194498">
        <w:rPr>
          <w:rFonts w:ascii="Calibri" w:hAnsi="Calibri" w:cs="Calibri"/>
        </w:rPr>
        <w:t xml:space="preserve"> </w:t>
      </w:r>
      <w:proofErr w:type="spellStart"/>
      <w:r w:rsidRPr="00194498">
        <w:rPr>
          <w:rFonts w:ascii="Calibri" w:hAnsi="Calibri" w:cs="Calibri"/>
        </w:rPr>
        <w:t>od</w:t>
      </w:r>
      <w:proofErr w:type="spellEnd"/>
      <w:r w:rsidRPr="00194498">
        <w:rPr>
          <w:rFonts w:ascii="Calibri" w:hAnsi="Calibri" w:cs="Calibri"/>
        </w:rPr>
        <w:t xml:space="preserve"> </w:t>
      </w:r>
      <w:proofErr w:type="spellStart"/>
      <w:r w:rsidRPr="00194498">
        <w:rPr>
          <w:rFonts w:ascii="Calibri" w:hAnsi="Calibri" w:cs="Calibri"/>
        </w:rPr>
        <w:t>vrijednosti</w:t>
      </w:r>
      <w:proofErr w:type="spellEnd"/>
      <w:r w:rsidRPr="00194498">
        <w:rPr>
          <w:rFonts w:ascii="Calibri" w:hAnsi="Calibri" w:cs="Calibri"/>
        </w:rPr>
        <w:t xml:space="preserve"> </w:t>
      </w:r>
      <w:proofErr w:type="spellStart"/>
      <w:r w:rsidRPr="00194498">
        <w:rPr>
          <w:rFonts w:ascii="Calibri" w:hAnsi="Calibri" w:cs="Calibri"/>
        </w:rPr>
        <w:t>i</w:t>
      </w:r>
      <w:proofErr w:type="spellEnd"/>
      <w:r w:rsidRPr="00194498">
        <w:rPr>
          <w:rFonts w:ascii="Calibri" w:hAnsi="Calibri" w:cs="Calibri"/>
        </w:rPr>
        <w:t xml:space="preserve"> </w:t>
      </w:r>
      <w:proofErr w:type="spellStart"/>
      <w:r w:rsidRPr="00194498">
        <w:rPr>
          <w:rFonts w:ascii="Calibri" w:hAnsi="Calibri" w:cs="Calibri"/>
        </w:rPr>
        <w:t>ostalih</w:t>
      </w:r>
      <w:proofErr w:type="spellEnd"/>
      <w:r w:rsidRPr="00194498">
        <w:rPr>
          <w:rFonts w:ascii="Calibri" w:hAnsi="Calibri" w:cs="Calibri"/>
        </w:rPr>
        <w:t xml:space="preserve"> </w:t>
      </w:r>
      <w:proofErr w:type="spellStart"/>
      <w:r w:rsidRPr="00194498">
        <w:rPr>
          <w:rFonts w:ascii="Calibri" w:hAnsi="Calibri" w:cs="Calibri"/>
        </w:rPr>
        <w:t>ulaganja</w:t>
      </w:r>
      <w:proofErr w:type="spellEnd"/>
      <w:r w:rsidRPr="00194498">
        <w:rPr>
          <w:rFonts w:ascii="Calibri" w:hAnsi="Calibri" w:cs="Calibri"/>
        </w:rPr>
        <w:t xml:space="preserve"> u </w:t>
      </w:r>
      <w:proofErr w:type="spellStart"/>
      <w:r w:rsidRPr="00194498">
        <w:rPr>
          <w:rFonts w:ascii="Calibri" w:hAnsi="Calibri" w:cs="Calibri"/>
        </w:rPr>
        <w:t>portfelju</w:t>
      </w:r>
      <w:proofErr w:type="spellEnd"/>
      <w:r w:rsidRPr="00194498">
        <w:rPr>
          <w:rFonts w:ascii="Calibri" w:hAnsi="Calibri" w:cs="Calibri"/>
        </w:rPr>
        <w:t xml:space="preserve"> Fonda. </w:t>
      </w:r>
      <w:proofErr w:type="spellStart"/>
      <w:r w:rsidRPr="00194498">
        <w:rPr>
          <w:rFonts w:ascii="Calibri" w:hAnsi="Calibri" w:cs="Calibri"/>
        </w:rPr>
        <w:t>Obzirom</w:t>
      </w:r>
      <w:proofErr w:type="spellEnd"/>
      <w:r w:rsidRPr="00194498">
        <w:rPr>
          <w:rFonts w:ascii="Calibri" w:hAnsi="Calibri" w:cs="Calibri"/>
        </w:rPr>
        <w:t xml:space="preserve"> </w:t>
      </w:r>
      <w:proofErr w:type="spellStart"/>
      <w:proofErr w:type="gramStart"/>
      <w:r w:rsidRPr="00194498">
        <w:rPr>
          <w:rFonts w:ascii="Calibri" w:hAnsi="Calibri" w:cs="Calibri"/>
        </w:rPr>
        <w:t>na</w:t>
      </w:r>
      <w:proofErr w:type="spellEnd"/>
      <w:proofErr w:type="gramEnd"/>
      <w:r w:rsidRPr="00194498">
        <w:rPr>
          <w:rFonts w:ascii="Calibri" w:hAnsi="Calibri" w:cs="Calibri"/>
        </w:rPr>
        <w:t xml:space="preserve"> </w:t>
      </w:r>
      <w:proofErr w:type="spellStart"/>
      <w:r w:rsidRPr="00194498">
        <w:rPr>
          <w:rFonts w:ascii="Calibri" w:hAnsi="Calibri" w:cs="Calibri"/>
        </w:rPr>
        <w:t>kratak</w:t>
      </w:r>
      <w:proofErr w:type="spellEnd"/>
      <w:r w:rsidRPr="00194498">
        <w:rPr>
          <w:rFonts w:ascii="Calibri" w:hAnsi="Calibri" w:cs="Calibri"/>
        </w:rPr>
        <w:t xml:space="preserve"> </w:t>
      </w:r>
      <w:proofErr w:type="spellStart"/>
      <w:r w:rsidRPr="00194498">
        <w:rPr>
          <w:rFonts w:ascii="Calibri" w:hAnsi="Calibri" w:cs="Calibri"/>
        </w:rPr>
        <w:t>vremenski</w:t>
      </w:r>
      <w:proofErr w:type="spellEnd"/>
      <w:r w:rsidRPr="00194498">
        <w:rPr>
          <w:rFonts w:ascii="Calibri" w:hAnsi="Calibri" w:cs="Calibri"/>
        </w:rPr>
        <w:t xml:space="preserve"> period </w:t>
      </w:r>
      <w:proofErr w:type="spellStart"/>
      <w:r w:rsidRPr="00194498">
        <w:rPr>
          <w:rFonts w:ascii="Calibri" w:hAnsi="Calibri" w:cs="Calibri"/>
        </w:rPr>
        <w:t>postojanja</w:t>
      </w:r>
      <w:proofErr w:type="spellEnd"/>
      <w:r w:rsidRPr="00194498">
        <w:rPr>
          <w:rFonts w:ascii="Calibri" w:hAnsi="Calibri" w:cs="Calibri"/>
        </w:rPr>
        <w:t xml:space="preserve"> </w:t>
      </w:r>
      <w:proofErr w:type="spellStart"/>
      <w:r w:rsidRPr="00194498">
        <w:rPr>
          <w:rFonts w:ascii="Calibri" w:hAnsi="Calibri" w:cs="Calibri"/>
        </w:rPr>
        <w:t>novčanog</w:t>
      </w:r>
      <w:proofErr w:type="spellEnd"/>
      <w:r w:rsidRPr="00194498">
        <w:rPr>
          <w:rFonts w:ascii="Calibri" w:hAnsi="Calibri" w:cs="Calibri"/>
        </w:rPr>
        <w:t xml:space="preserve"> Fonda ne </w:t>
      </w:r>
      <w:proofErr w:type="spellStart"/>
      <w:r w:rsidRPr="00194498">
        <w:rPr>
          <w:rFonts w:ascii="Calibri" w:hAnsi="Calibri" w:cs="Calibri"/>
        </w:rPr>
        <w:t>postoje</w:t>
      </w:r>
      <w:proofErr w:type="spellEnd"/>
      <w:r w:rsidRPr="00194498">
        <w:rPr>
          <w:rFonts w:ascii="Calibri" w:hAnsi="Calibri" w:cs="Calibri"/>
        </w:rPr>
        <w:t xml:space="preserve"> </w:t>
      </w:r>
      <w:proofErr w:type="spellStart"/>
      <w:r w:rsidRPr="00194498">
        <w:rPr>
          <w:rFonts w:ascii="Calibri" w:hAnsi="Calibri" w:cs="Calibri"/>
        </w:rPr>
        <w:t>istorijski</w:t>
      </w:r>
      <w:proofErr w:type="spellEnd"/>
      <w:r w:rsidRPr="00194498">
        <w:rPr>
          <w:rFonts w:ascii="Calibri" w:hAnsi="Calibri" w:cs="Calibri"/>
        </w:rPr>
        <w:t xml:space="preserve"> </w:t>
      </w:r>
      <w:proofErr w:type="spellStart"/>
      <w:r w:rsidRPr="00194498">
        <w:rPr>
          <w:rFonts w:ascii="Calibri" w:hAnsi="Calibri" w:cs="Calibri"/>
        </w:rPr>
        <w:t>podaci</w:t>
      </w:r>
      <w:proofErr w:type="spellEnd"/>
      <w:r w:rsidRPr="00194498">
        <w:rPr>
          <w:rFonts w:ascii="Calibri" w:hAnsi="Calibri" w:cs="Calibri"/>
        </w:rPr>
        <w:t xml:space="preserve"> </w:t>
      </w:r>
      <w:proofErr w:type="spellStart"/>
      <w:r w:rsidRPr="00194498">
        <w:rPr>
          <w:rFonts w:ascii="Calibri" w:hAnsi="Calibri" w:cs="Calibri"/>
        </w:rPr>
        <w:t>koji</w:t>
      </w:r>
      <w:proofErr w:type="spellEnd"/>
      <w:r w:rsidRPr="00194498">
        <w:rPr>
          <w:rFonts w:ascii="Calibri" w:hAnsi="Calibri" w:cs="Calibri"/>
        </w:rPr>
        <w:t xml:space="preserve"> bi </w:t>
      </w:r>
      <w:proofErr w:type="spellStart"/>
      <w:r w:rsidRPr="00194498">
        <w:rPr>
          <w:rFonts w:ascii="Calibri" w:hAnsi="Calibri" w:cs="Calibri"/>
        </w:rPr>
        <w:t>mogli</w:t>
      </w:r>
      <w:proofErr w:type="spellEnd"/>
      <w:r w:rsidRPr="00194498">
        <w:rPr>
          <w:rFonts w:ascii="Calibri" w:hAnsi="Calibri" w:cs="Calibri"/>
        </w:rPr>
        <w:t xml:space="preserve"> </w:t>
      </w:r>
      <w:proofErr w:type="spellStart"/>
      <w:r w:rsidRPr="00194498">
        <w:rPr>
          <w:rFonts w:ascii="Calibri" w:hAnsi="Calibri" w:cs="Calibri"/>
        </w:rPr>
        <w:t>poslužiti</w:t>
      </w:r>
      <w:proofErr w:type="spellEnd"/>
      <w:r w:rsidRPr="00194498">
        <w:rPr>
          <w:rFonts w:ascii="Calibri" w:hAnsi="Calibri" w:cs="Calibri"/>
        </w:rPr>
        <w:t xml:space="preserve"> </w:t>
      </w:r>
      <w:proofErr w:type="spellStart"/>
      <w:r w:rsidRPr="00194498">
        <w:rPr>
          <w:rFonts w:ascii="Calibri" w:hAnsi="Calibri" w:cs="Calibri"/>
        </w:rPr>
        <w:t>kao</w:t>
      </w:r>
      <w:proofErr w:type="spellEnd"/>
      <w:r w:rsidRPr="00194498">
        <w:rPr>
          <w:rFonts w:ascii="Calibri" w:hAnsi="Calibri" w:cs="Calibri"/>
        </w:rPr>
        <w:t xml:space="preserve"> </w:t>
      </w:r>
      <w:proofErr w:type="spellStart"/>
      <w:r w:rsidRPr="00194498">
        <w:rPr>
          <w:rFonts w:ascii="Calibri" w:hAnsi="Calibri" w:cs="Calibri"/>
        </w:rPr>
        <w:t>pouzdanija</w:t>
      </w:r>
      <w:proofErr w:type="spellEnd"/>
      <w:r w:rsidRPr="00194498">
        <w:rPr>
          <w:rFonts w:ascii="Calibri" w:hAnsi="Calibri" w:cs="Calibri"/>
        </w:rPr>
        <w:t xml:space="preserve"> </w:t>
      </w:r>
      <w:proofErr w:type="spellStart"/>
      <w:r w:rsidRPr="00194498">
        <w:rPr>
          <w:rFonts w:ascii="Calibri" w:hAnsi="Calibri" w:cs="Calibri"/>
        </w:rPr>
        <w:t>procjena</w:t>
      </w:r>
      <w:proofErr w:type="spellEnd"/>
      <w:r w:rsidRPr="00194498">
        <w:rPr>
          <w:rFonts w:ascii="Calibri" w:hAnsi="Calibri" w:cs="Calibri"/>
        </w:rPr>
        <w:t xml:space="preserve"> </w:t>
      </w:r>
      <w:proofErr w:type="spellStart"/>
      <w:r w:rsidRPr="00194498">
        <w:rPr>
          <w:rFonts w:ascii="Calibri" w:hAnsi="Calibri" w:cs="Calibri"/>
        </w:rPr>
        <w:t>budućih</w:t>
      </w:r>
      <w:proofErr w:type="spellEnd"/>
      <w:r w:rsidRPr="00194498">
        <w:rPr>
          <w:rFonts w:ascii="Calibri" w:hAnsi="Calibri" w:cs="Calibri"/>
        </w:rPr>
        <w:t xml:space="preserve"> </w:t>
      </w:r>
      <w:proofErr w:type="spellStart"/>
      <w:r w:rsidRPr="00194498">
        <w:rPr>
          <w:rFonts w:ascii="Calibri" w:hAnsi="Calibri" w:cs="Calibri"/>
        </w:rPr>
        <w:t>performansi</w:t>
      </w:r>
      <w:proofErr w:type="spellEnd"/>
      <w:r w:rsidRPr="00194498">
        <w:rPr>
          <w:rFonts w:ascii="Calibri" w:hAnsi="Calibri" w:cs="Calibri"/>
        </w:rPr>
        <w:t xml:space="preserve"> Fonda.</w:t>
      </w:r>
    </w:p>
    <w:p w:rsidR="0010199A" w:rsidRPr="00194498" w:rsidRDefault="0010199A" w:rsidP="0010199A">
      <w:pPr>
        <w:jc w:val="both"/>
        <w:rPr>
          <w:rFonts w:ascii="Calibri" w:hAnsi="Calibri" w:cs="Calibri"/>
        </w:rPr>
      </w:pPr>
    </w:p>
    <w:p w:rsidR="000C483E" w:rsidRPr="0010199A" w:rsidRDefault="0010199A" w:rsidP="0010199A">
      <w:pPr>
        <w:jc w:val="both"/>
        <w:rPr>
          <w:rFonts w:ascii="Calibri" w:hAnsi="Calibri" w:cs="Calibri"/>
        </w:rPr>
      </w:pPr>
      <w:r w:rsidRPr="00194498">
        <w:rPr>
          <w:rFonts w:ascii="Calibri" w:hAnsi="Calibri" w:cs="Calibri"/>
        </w:rPr>
        <w:t xml:space="preserve">Na </w:t>
      </w:r>
      <w:proofErr w:type="spellStart"/>
      <w:r w:rsidRPr="00194498">
        <w:rPr>
          <w:rFonts w:ascii="Calibri" w:hAnsi="Calibri" w:cs="Calibri"/>
        </w:rPr>
        <w:t>dan</w:t>
      </w:r>
      <w:proofErr w:type="spellEnd"/>
      <w:r w:rsidRPr="00194498">
        <w:rPr>
          <w:rFonts w:ascii="Calibri" w:hAnsi="Calibri" w:cs="Calibri"/>
        </w:rPr>
        <w:t xml:space="preserve"> </w:t>
      </w:r>
      <w:proofErr w:type="spellStart"/>
      <w:r w:rsidRPr="00194498">
        <w:rPr>
          <w:rFonts w:ascii="Calibri" w:hAnsi="Calibri" w:cs="Calibri"/>
        </w:rPr>
        <w:t>bilansa</w:t>
      </w:r>
      <w:proofErr w:type="spellEnd"/>
      <w:r w:rsidRPr="00194498">
        <w:rPr>
          <w:rFonts w:ascii="Calibri" w:hAnsi="Calibri" w:cs="Calibri"/>
        </w:rPr>
        <w:t xml:space="preserve"> Fond je </w:t>
      </w:r>
      <w:proofErr w:type="spellStart"/>
      <w:proofErr w:type="gramStart"/>
      <w:r w:rsidRPr="00194498">
        <w:rPr>
          <w:rFonts w:ascii="Calibri" w:hAnsi="Calibri" w:cs="Calibri"/>
        </w:rPr>
        <w:t>na</w:t>
      </w:r>
      <w:proofErr w:type="spellEnd"/>
      <w:proofErr w:type="gramEnd"/>
      <w:r w:rsidRPr="00194498">
        <w:rPr>
          <w:rFonts w:ascii="Calibri" w:hAnsi="Calibri" w:cs="Calibri"/>
        </w:rPr>
        <w:t xml:space="preserve"> </w:t>
      </w:r>
      <w:proofErr w:type="spellStart"/>
      <w:r w:rsidRPr="00194498">
        <w:rPr>
          <w:rFonts w:ascii="Calibri" w:hAnsi="Calibri" w:cs="Calibri"/>
        </w:rPr>
        <w:t>dnevnom</w:t>
      </w:r>
      <w:proofErr w:type="spellEnd"/>
      <w:r w:rsidRPr="00194498">
        <w:rPr>
          <w:rFonts w:ascii="Calibri" w:hAnsi="Calibri" w:cs="Calibri"/>
        </w:rPr>
        <w:t xml:space="preserve"> </w:t>
      </w:r>
      <w:proofErr w:type="spellStart"/>
      <w:r w:rsidRPr="00194498">
        <w:rPr>
          <w:rFonts w:ascii="Calibri" w:hAnsi="Calibri" w:cs="Calibri"/>
        </w:rPr>
        <w:t>nivou</w:t>
      </w:r>
      <w:proofErr w:type="spellEnd"/>
      <w:r w:rsidRPr="00194498">
        <w:rPr>
          <w:rFonts w:ascii="Calibri" w:hAnsi="Calibri" w:cs="Calibri"/>
        </w:rPr>
        <w:t xml:space="preserve"> </w:t>
      </w:r>
      <w:proofErr w:type="spellStart"/>
      <w:r w:rsidRPr="00194498">
        <w:rPr>
          <w:rFonts w:ascii="Calibri" w:hAnsi="Calibri" w:cs="Calibri"/>
        </w:rPr>
        <w:t>otvoren</w:t>
      </w:r>
      <w:proofErr w:type="spellEnd"/>
      <w:r w:rsidRPr="00194498">
        <w:rPr>
          <w:rFonts w:ascii="Calibri" w:hAnsi="Calibri" w:cs="Calibri"/>
        </w:rPr>
        <w:t xml:space="preserve">. </w:t>
      </w:r>
      <w:proofErr w:type="spellStart"/>
      <w:r w:rsidRPr="00194498">
        <w:rPr>
          <w:rFonts w:ascii="Calibri" w:hAnsi="Calibri" w:cs="Calibri"/>
        </w:rPr>
        <w:t>Obaveza</w:t>
      </w:r>
      <w:proofErr w:type="spellEnd"/>
      <w:r w:rsidRPr="00194498">
        <w:rPr>
          <w:rFonts w:ascii="Calibri" w:hAnsi="Calibri" w:cs="Calibri"/>
        </w:rPr>
        <w:t xml:space="preserve"> </w:t>
      </w:r>
      <w:proofErr w:type="spellStart"/>
      <w:r w:rsidRPr="00194498">
        <w:rPr>
          <w:rFonts w:ascii="Calibri" w:hAnsi="Calibri" w:cs="Calibri"/>
        </w:rPr>
        <w:t>isplate</w:t>
      </w:r>
      <w:proofErr w:type="spellEnd"/>
      <w:r w:rsidRPr="00194498">
        <w:rPr>
          <w:rFonts w:ascii="Calibri" w:hAnsi="Calibri" w:cs="Calibri"/>
        </w:rPr>
        <w:t xml:space="preserve"> </w:t>
      </w:r>
      <w:proofErr w:type="spellStart"/>
      <w:r w:rsidRPr="00194498">
        <w:rPr>
          <w:rFonts w:ascii="Calibri" w:hAnsi="Calibri" w:cs="Calibri"/>
        </w:rPr>
        <w:t>udjela</w:t>
      </w:r>
      <w:proofErr w:type="spellEnd"/>
      <w:r w:rsidRPr="00194498">
        <w:rPr>
          <w:rFonts w:ascii="Calibri" w:hAnsi="Calibri" w:cs="Calibri"/>
        </w:rPr>
        <w:t xml:space="preserve"> u </w:t>
      </w:r>
      <w:proofErr w:type="spellStart"/>
      <w:r w:rsidRPr="00194498">
        <w:rPr>
          <w:rFonts w:ascii="Calibri" w:hAnsi="Calibri" w:cs="Calibri"/>
        </w:rPr>
        <w:t>roku</w:t>
      </w:r>
      <w:proofErr w:type="spellEnd"/>
      <w:r w:rsidRPr="00194498">
        <w:rPr>
          <w:rFonts w:ascii="Calibri" w:hAnsi="Calibri" w:cs="Calibri"/>
        </w:rPr>
        <w:t xml:space="preserve"> </w:t>
      </w:r>
      <w:proofErr w:type="gramStart"/>
      <w:r w:rsidRPr="00194498">
        <w:rPr>
          <w:rFonts w:ascii="Calibri" w:hAnsi="Calibri" w:cs="Calibri"/>
        </w:rPr>
        <w:t>od</w:t>
      </w:r>
      <w:proofErr w:type="gramEnd"/>
      <w:r w:rsidRPr="00194498">
        <w:rPr>
          <w:rFonts w:ascii="Calibri" w:hAnsi="Calibri" w:cs="Calibri"/>
        </w:rPr>
        <w:t xml:space="preserve"> 5 </w:t>
      </w:r>
      <w:proofErr w:type="spellStart"/>
      <w:r w:rsidRPr="00194498">
        <w:rPr>
          <w:rFonts w:ascii="Calibri" w:hAnsi="Calibri" w:cs="Calibri"/>
        </w:rPr>
        <w:t>radnih</w:t>
      </w:r>
      <w:proofErr w:type="spellEnd"/>
      <w:r w:rsidRPr="00194498">
        <w:rPr>
          <w:rFonts w:ascii="Calibri" w:hAnsi="Calibri" w:cs="Calibri"/>
        </w:rPr>
        <w:t xml:space="preserve"> dana od dana </w:t>
      </w:r>
      <w:proofErr w:type="spellStart"/>
      <w:r w:rsidRPr="00194498">
        <w:rPr>
          <w:rFonts w:ascii="Calibri" w:hAnsi="Calibri" w:cs="Calibri"/>
        </w:rPr>
        <w:t>obračuna</w:t>
      </w:r>
      <w:proofErr w:type="spellEnd"/>
      <w:r w:rsidRPr="00194498">
        <w:rPr>
          <w:rFonts w:ascii="Calibri" w:hAnsi="Calibri" w:cs="Calibri"/>
        </w:rPr>
        <w:t xml:space="preserve"> </w:t>
      </w:r>
      <w:proofErr w:type="spellStart"/>
      <w:r w:rsidRPr="00194498">
        <w:rPr>
          <w:rFonts w:ascii="Calibri" w:hAnsi="Calibri" w:cs="Calibri"/>
        </w:rPr>
        <w:t>može</w:t>
      </w:r>
      <w:proofErr w:type="spellEnd"/>
      <w:r w:rsidRPr="00194498">
        <w:rPr>
          <w:rFonts w:ascii="Calibri" w:hAnsi="Calibri" w:cs="Calibri"/>
        </w:rPr>
        <w:t xml:space="preserve"> </w:t>
      </w:r>
      <w:proofErr w:type="spellStart"/>
      <w:r w:rsidRPr="00194498">
        <w:rPr>
          <w:rFonts w:ascii="Calibri" w:hAnsi="Calibri" w:cs="Calibri"/>
        </w:rPr>
        <w:t>imati</w:t>
      </w:r>
      <w:proofErr w:type="spellEnd"/>
      <w:r w:rsidRPr="00194498">
        <w:rPr>
          <w:rFonts w:ascii="Calibri" w:hAnsi="Calibri" w:cs="Calibri"/>
        </w:rPr>
        <w:t xml:space="preserve"> </w:t>
      </w:r>
      <w:proofErr w:type="spellStart"/>
      <w:r w:rsidRPr="00194498">
        <w:rPr>
          <w:rFonts w:ascii="Calibri" w:hAnsi="Calibri" w:cs="Calibri"/>
        </w:rPr>
        <w:t>značajan</w:t>
      </w:r>
      <w:proofErr w:type="spellEnd"/>
      <w:r w:rsidRPr="00194498">
        <w:rPr>
          <w:rFonts w:ascii="Calibri" w:hAnsi="Calibri" w:cs="Calibri"/>
        </w:rPr>
        <w:t xml:space="preserve"> </w:t>
      </w:r>
      <w:proofErr w:type="spellStart"/>
      <w:r w:rsidRPr="00194498">
        <w:rPr>
          <w:rFonts w:ascii="Calibri" w:hAnsi="Calibri" w:cs="Calibri"/>
        </w:rPr>
        <w:t>uticaj</w:t>
      </w:r>
      <w:proofErr w:type="spellEnd"/>
      <w:r w:rsidRPr="00194498">
        <w:rPr>
          <w:rFonts w:ascii="Calibri" w:hAnsi="Calibri" w:cs="Calibri"/>
        </w:rPr>
        <w:t xml:space="preserve"> </w:t>
      </w:r>
      <w:proofErr w:type="spellStart"/>
      <w:r w:rsidRPr="00194498">
        <w:rPr>
          <w:rFonts w:ascii="Calibri" w:hAnsi="Calibri" w:cs="Calibri"/>
        </w:rPr>
        <w:t>na</w:t>
      </w:r>
      <w:proofErr w:type="spellEnd"/>
      <w:r w:rsidRPr="00194498">
        <w:rPr>
          <w:rFonts w:ascii="Calibri" w:hAnsi="Calibri" w:cs="Calibri"/>
        </w:rPr>
        <w:t xml:space="preserve"> </w:t>
      </w:r>
      <w:proofErr w:type="spellStart"/>
      <w:r w:rsidRPr="00194498">
        <w:rPr>
          <w:rFonts w:ascii="Calibri" w:hAnsi="Calibri" w:cs="Calibri"/>
        </w:rPr>
        <w:t>likvidnost</w:t>
      </w:r>
      <w:proofErr w:type="spellEnd"/>
      <w:r w:rsidRPr="00194498">
        <w:rPr>
          <w:rFonts w:ascii="Calibri" w:hAnsi="Calibri" w:cs="Calibri"/>
        </w:rPr>
        <w:t xml:space="preserve"> </w:t>
      </w:r>
      <w:proofErr w:type="spellStart"/>
      <w:r w:rsidRPr="00194498">
        <w:rPr>
          <w:rFonts w:ascii="Calibri" w:hAnsi="Calibri" w:cs="Calibri"/>
        </w:rPr>
        <w:t>fonda</w:t>
      </w:r>
      <w:proofErr w:type="spellEnd"/>
      <w:r w:rsidRPr="00194498">
        <w:rPr>
          <w:rFonts w:ascii="Calibri" w:hAnsi="Calibri" w:cs="Calibri"/>
        </w:rPr>
        <w:t xml:space="preserve"> </w:t>
      </w:r>
      <w:proofErr w:type="spellStart"/>
      <w:r w:rsidRPr="00194498">
        <w:rPr>
          <w:rFonts w:ascii="Calibri" w:hAnsi="Calibri" w:cs="Calibri"/>
        </w:rPr>
        <w:t>uzimajući</w:t>
      </w:r>
      <w:proofErr w:type="spellEnd"/>
      <w:r w:rsidRPr="00194498">
        <w:rPr>
          <w:rFonts w:ascii="Calibri" w:hAnsi="Calibri" w:cs="Calibri"/>
        </w:rPr>
        <w:t xml:space="preserve"> u </w:t>
      </w:r>
      <w:proofErr w:type="spellStart"/>
      <w:r w:rsidRPr="00194498">
        <w:rPr>
          <w:rFonts w:ascii="Calibri" w:hAnsi="Calibri" w:cs="Calibri"/>
        </w:rPr>
        <w:t>obzir</w:t>
      </w:r>
      <w:proofErr w:type="spellEnd"/>
      <w:r w:rsidRPr="00194498">
        <w:rPr>
          <w:rFonts w:ascii="Calibri" w:hAnsi="Calibri" w:cs="Calibri"/>
        </w:rPr>
        <w:t xml:space="preserve"> </w:t>
      </w:r>
      <w:proofErr w:type="spellStart"/>
      <w:r w:rsidRPr="00194498">
        <w:rPr>
          <w:rFonts w:ascii="Calibri" w:hAnsi="Calibri" w:cs="Calibri"/>
        </w:rPr>
        <w:t>postojeću</w:t>
      </w:r>
      <w:proofErr w:type="spellEnd"/>
      <w:r w:rsidRPr="00194498">
        <w:rPr>
          <w:rFonts w:ascii="Calibri" w:hAnsi="Calibri" w:cs="Calibri"/>
        </w:rPr>
        <w:t xml:space="preserve"> </w:t>
      </w:r>
      <w:proofErr w:type="spellStart"/>
      <w:r w:rsidRPr="00194498">
        <w:rPr>
          <w:rFonts w:ascii="Calibri" w:hAnsi="Calibri" w:cs="Calibri"/>
        </w:rPr>
        <w:t>likvidnost</w:t>
      </w:r>
      <w:proofErr w:type="spellEnd"/>
      <w:r w:rsidRPr="00194498">
        <w:rPr>
          <w:rFonts w:ascii="Calibri" w:hAnsi="Calibri" w:cs="Calibri"/>
        </w:rPr>
        <w:t xml:space="preserve"> </w:t>
      </w:r>
      <w:proofErr w:type="spellStart"/>
      <w:r w:rsidRPr="00194498">
        <w:rPr>
          <w:rFonts w:ascii="Calibri" w:hAnsi="Calibri" w:cs="Calibri"/>
        </w:rPr>
        <w:t>hartija</w:t>
      </w:r>
      <w:proofErr w:type="spellEnd"/>
      <w:r w:rsidRPr="00194498">
        <w:rPr>
          <w:rFonts w:ascii="Calibri" w:hAnsi="Calibri" w:cs="Calibri"/>
        </w:rPr>
        <w:t xml:space="preserve"> </w:t>
      </w:r>
      <w:proofErr w:type="spellStart"/>
      <w:r w:rsidRPr="00194498">
        <w:rPr>
          <w:rFonts w:ascii="Calibri" w:hAnsi="Calibri" w:cs="Calibri"/>
        </w:rPr>
        <w:t>kojima</w:t>
      </w:r>
      <w:proofErr w:type="spellEnd"/>
      <w:r w:rsidRPr="00194498">
        <w:rPr>
          <w:rFonts w:ascii="Calibri" w:hAnsi="Calibri" w:cs="Calibri"/>
        </w:rPr>
        <w:t xml:space="preserve"> se </w:t>
      </w:r>
      <w:proofErr w:type="spellStart"/>
      <w:r w:rsidRPr="00194498">
        <w:rPr>
          <w:rFonts w:ascii="Calibri" w:hAnsi="Calibri" w:cs="Calibri"/>
        </w:rPr>
        <w:t>trguje</w:t>
      </w:r>
      <w:proofErr w:type="spellEnd"/>
      <w:r w:rsidRPr="00194498">
        <w:rPr>
          <w:rFonts w:ascii="Calibri" w:hAnsi="Calibri" w:cs="Calibri"/>
        </w:rPr>
        <w:t xml:space="preserve"> </w:t>
      </w:r>
      <w:proofErr w:type="spellStart"/>
      <w:r w:rsidRPr="00194498">
        <w:rPr>
          <w:rFonts w:ascii="Calibri" w:hAnsi="Calibri" w:cs="Calibri"/>
        </w:rPr>
        <w:t>na</w:t>
      </w:r>
      <w:proofErr w:type="spellEnd"/>
      <w:r w:rsidRPr="00194498">
        <w:rPr>
          <w:rFonts w:ascii="Calibri" w:hAnsi="Calibri" w:cs="Calibri"/>
        </w:rPr>
        <w:t xml:space="preserve"> </w:t>
      </w:r>
      <w:proofErr w:type="spellStart"/>
      <w:r w:rsidRPr="00194498">
        <w:rPr>
          <w:rFonts w:ascii="Calibri" w:hAnsi="Calibri" w:cs="Calibri"/>
        </w:rPr>
        <w:t>domaćem</w:t>
      </w:r>
      <w:proofErr w:type="spellEnd"/>
      <w:r w:rsidRPr="00194498">
        <w:rPr>
          <w:rFonts w:ascii="Calibri" w:hAnsi="Calibri" w:cs="Calibri"/>
        </w:rPr>
        <w:t xml:space="preserve"> </w:t>
      </w:r>
      <w:proofErr w:type="spellStart"/>
      <w:r w:rsidRPr="00194498">
        <w:rPr>
          <w:rFonts w:ascii="Calibri" w:hAnsi="Calibri" w:cs="Calibri"/>
        </w:rPr>
        <w:t>tržištu</w:t>
      </w:r>
      <w:proofErr w:type="spellEnd"/>
      <w:r w:rsidRPr="00194498">
        <w:rPr>
          <w:rFonts w:ascii="Calibri" w:hAnsi="Calibri" w:cs="Calibri"/>
        </w:rPr>
        <w:t xml:space="preserve">.  </w:t>
      </w:r>
    </w:p>
    <w:p w:rsidR="000C483E" w:rsidRPr="00130798" w:rsidRDefault="000C483E" w:rsidP="00130798">
      <w:pPr>
        <w:pStyle w:val="Heading1"/>
        <w:rPr>
          <w:rFonts w:ascii="Calibri" w:hAnsi="Calibri" w:cs="Calibri"/>
          <w:noProof/>
          <w:sz w:val="24"/>
          <w:szCs w:val="24"/>
        </w:rPr>
      </w:pPr>
      <w:bookmarkStart w:id="38" w:name="_Toc506645338"/>
      <w:bookmarkStart w:id="39" w:name="_Toc64534464"/>
      <w:r w:rsidRPr="00A47E7E">
        <w:rPr>
          <w:rFonts w:ascii="Calibri" w:hAnsi="Calibri" w:cs="Calibri"/>
          <w:noProof/>
          <w:sz w:val="24"/>
          <w:szCs w:val="24"/>
        </w:rPr>
        <w:t>DEVIZNI KURSEVI</w:t>
      </w:r>
      <w:bookmarkEnd w:id="38"/>
      <w:bookmarkEnd w:id="39"/>
    </w:p>
    <w:p w:rsidR="000E0EAC" w:rsidRDefault="000C483E" w:rsidP="00185103">
      <w:pPr>
        <w:tabs>
          <w:tab w:val="left" w:pos="-1440"/>
          <w:tab w:val="left" w:pos="-720"/>
        </w:tabs>
        <w:jc w:val="both"/>
        <w:rPr>
          <w:rFonts w:ascii="Calibri" w:hAnsi="Calibri" w:cs="Calibri"/>
          <w:noProof/>
        </w:rPr>
      </w:pPr>
      <w:r w:rsidRPr="00A47E7E">
        <w:rPr>
          <w:rFonts w:ascii="Calibri" w:hAnsi="Calibri" w:cs="Calibri"/>
          <w:noProof/>
        </w:rPr>
        <w:t>Srednji kursevi za devize, utvrđeni na međubankarskom tržištu deviza, primijenjeni za preračun deviznih pozicija bilansa stanja u Konvertibilne marke</w:t>
      </w:r>
      <w:r w:rsidR="00541F1D">
        <w:rPr>
          <w:rFonts w:ascii="Calibri" w:hAnsi="Calibri" w:cs="Calibri"/>
          <w:noProof/>
        </w:rPr>
        <w:t>.</w:t>
      </w:r>
      <w:r w:rsidRPr="00A47E7E">
        <w:rPr>
          <w:rFonts w:ascii="Calibri" w:hAnsi="Calibri" w:cs="Calibri"/>
          <w:noProof/>
        </w:rPr>
        <w:t xml:space="preserve"> </w:t>
      </w:r>
    </w:p>
    <w:p w:rsidR="00185103" w:rsidRPr="00185103" w:rsidRDefault="00185103" w:rsidP="00185103">
      <w:pPr>
        <w:tabs>
          <w:tab w:val="left" w:pos="-1440"/>
          <w:tab w:val="left" w:pos="-720"/>
        </w:tabs>
        <w:jc w:val="both"/>
        <w:rPr>
          <w:rFonts w:ascii="Calibri" w:hAnsi="Calibri" w:cs="Calibri"/>
          <w:noProof/>
        </w:rPr>
      </w:pPr>
    </w:p>
    <w:p w:rsidR="00E52588" w:rsidRDefault="00E52588" w:rsidP="0003113B">
      <w:pPr>
        <w:tabs>
          <w:tab w:val="left" w:pos="269"/>
          <w:tab w:val="left" w:pos="806"/>
          <w:tab w:val="left" w:pos="1728"/>
          <w:tab w:val="left" w:pos="2448"/>
          <w:tab w:val="left" w:pos="3168"/>
          <w:tab w:val="left" w:pos="3888"/>
          <w:tab w:val="left" w:pos="4608"/>
          <w:tab w:val="left" w:pos="5328"/>
          <w:tab w:val="left" w:pos="6048"/>
          <w:tab w:val="left" w:pos="6768"/>
        </w:tabs>
        <w:jc w:val="both"/>
        <w:rPr>
          <w:rFonts w:ascii="Calibri" w:hAnsi="Calibri" w:cs="Arial"/>
          <w:noProof/>
          <w:lang w:val="sr-Latn-BA"/>
        </w:rPr>
      </w:pPr>
    </w:p>
    <w:p w:rsidR="007C5F3F" w:rsidRPr="00386342" w:rsidRDefault="007C5F3F" w:rsidP="007C5F3F">
      <w:pPr>
        <w:tabs>
          <w:tab w:val="left" w:pos="-1440"/>
          <w:tab w:val="left" w:pos="-720"/>
        </w:tabs>
        <w:jc w:val="both"/>
        <w:rPr>
          <w:rFonts w:ascii="Calibri" w:hAnsi="Calibri" w:cs="Calibri"/>
          <w:noProof/>
        </w:rPr>
      </w:pPr>
      <w:r>
        <w:rPr>
          <w:noProof/>
        </w:rPr>
        <w:lastRenderedPageBreak/>
        <w:drawing>
          <wp:inline distT="0" distB="0" distL="0" distR="0" wp14:anchorId="6253FF59" wp14:editId="4B77E467">
            <wp:extent cx="5686425" cy="1200150"/>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86425" cy="1200150"/>
                    </a:xfrm>
                    <a:prstGeom prst="rect">
                      <a:avLst/>
                    </a:prstGeom>
                    <a:noFill/>
                    <a:ln>
                      <a:noFill/>
                    </a:ln>
                  </pic:spPr>
                </pic:pic>
              </a:graphicData>
            </a:graphic>
          </wp:inline>
        </w:drawing>
      </w:r>
    </w:p>
    <w:p w:rsidR="00E52588" w:rsidRDefault="00E52588" w:rsidP="0003113B">
      <w:pPr>
        <w:tabs>
          <w:tab w:val="left" w:pos="269"/>
          <w:tab w:val="left" w:pos="806"/>
          <w:tab w:val="left" w:pos="1728"/>
          <w:tab w:val="left" w:pos="2448"/>
          <w:tab w:val="left" w:pos="3168"/>
          <w:tab w:val="left" w:pos="3888"/>
          <w:tab w:val="left" w:pos="4608"/>
          <w:tab w:val="left" w:pos="5328"/>
          <w:tab w:val="left" w:pos="6048"/>
          <w:tab w:val="left" w:pos="6768"/>
        </w:tabs>
        <w:jc w:val="both"/>
        <w:rPr>
          <w:rFonts w:ascii="Calibri" w:hAnsi="Calibri" w:cs="Arial"/>
          <w:noProof/>
          <w:lang w:val="sr-Latn-BA"/>
        </w:rPr>
      </w:pPr>
    </w:p>
    <w:p w:rsidR="00893530" w:rsidRDefault="00893530" w:rsidP="0003113B">
      <w:pPr>
        <w:tabs>
          <w:tab w:val="left" w:pos="269"/>
          <w:tab w:val="left" w:pos="806"/>
          <w:tab w:val="left" w:pos="1728"/>
          <w:tab w:val="left" w:pos="2448"/>
          <w:tab w:val="left" w:pos="3168"/>
          <w:tab w:val="left" w:pos="3888"/>
          <w:tab w:val="left" w:pos="4608"/>
          <w:tab w:val="left" w:pos="5328"/>
          <w:tab w:val="left" w:pos="6048"/>
          <w:tab w:val="left" w:pos="6768"/>
        </w:tabs>
        <w:jc w:val="both"/>
        <w:rPr>
          <w:rFonts w:ascii="Calibri" w:hAnsi="Calibri" w:cs="Arial"/>
          <w:noProof/>
          <w:lang w:val="sr-Latn-BA"/>
        </w:rPr>
      </w:pPr>
    </w:p>
    <w:p w:rsidR="00893530" w:rsidRDefault="00893530" w:rsidP="008C46DC">
      <w:pPr>
        <w:rPr>
          <w:rFonts w:ascii="Calibri" w:hAnsi="Calibri" w:cs="Arial"/>
          <w:noProof/>
        </w:rPr>
      </w:pPr>
      <w:bookmarkStart w:id="40" w:name="_GoBack"/>
      <w:bookmarkEnd w:id="40"/>
    </w:p>
    <w:p w:rsidR="00893530" w:rsidRDefault="00893530" w:rsidP="008C46DC">
      <w:pPr>
        <w:rPr>
          <w:rFonts w:ascii="Calibri" w:hAnsi="Calibri" w:cs="Arial"/>
          <w:noProof/>
        </w:rPr>
      </w:pPr>
    </w:p>
    <w:p w:rsidR="006B357F" w:rsidRPr="0028068A" w:rsidRDefault="006B357F" w:rsidP="006B357F">
      <w:pPr>
        <w:jc w:val="center"/>
      </w:pPr>
    </w:p>
    <w:p w:rsidR="006B357F" w:rsidRPr="0028068A" w:rsidRDefault="006B357F" w:rsidP="006B357F">
      <w:pPr>
        <w:rPr>
          <w:rFonts w:ascii="Calibri" w:hAnsi="Calibri" w:cs="Calibri"/>
        </w:rPr>
      </w:pPr>
      <w:r w:rsidRPr="0028068A">
        <w:rPr>
          <w:rFonts w:ascii="Calibri" w:hAnsi="Calibri" w:cs="Calibri"/>
        </w:rPr>
        <w:t>U Banja Luci,</w:t>
      </w:r>
    </w:p>
    <w:p w:rsidR="006B357F" w:rsidRPr="0028068A" w:rsidRDefault="006B357F" w:rsidP="006B357F">
      <w:pPr>
        <w:rPr>
          <w:rFonts w:ascii="Calibri" w:hAnsi="Calibri" w:cs="Calibri"/>
        </w:rPr>
      </w:pPr>
    </w:p>
    <w:p w:rsidR="006B357F" w:rsidRPr="0028068A" w:rsidRDefault="006B357F" w:rsidP="006B357F">
      <w:pPr>
        <w:rPr>
          <w:rFonts w:ascii="Calibri" w:hAnsi="Calibri" w:cs="Calibri"/>
        </w:rPr>
      </w:pPr>
      <w:r w:rsidRPr="0028068A">
        <w:rPr>
          <w:rFonts w:ascii="Calibri" w:hAnsi="Calibri" w:cs="Calibri"/>
        </w:rPr>
        <w:t xml:space="preserve">Dana _____________ </w:t>
      </w:r>
    </w:p>
    <w:p w:rsidR="006B357F" w:rsidRPr="0028068A" w:rsidRDefault="006B357F" w:rsidP="006B357F"/>
    <w:p w:rsidR="006B357F" w:rsidRPr="00A21FCB" w:rsidRDefault="00A21FCB" w:rsidP="00A21FCB">
      <w:pPr>
        <w:tabs>
          <w:tab w:val="left" w:pos="3872"/>
          <w:tab w:val="right" w:pos="8952"/>
        </w:tabs>
      </w:pPr>
      <w:r>
        <w:tab/>
        <w:t>MP</w:t>
      </w:r>
      <w:r>
        <w:tab/>
        <w:t>______________________</w:t>
      </w:r>
    </w:p>
    <w:sectPr w:rsidR="006B357F" w:rsidRPr="00A21FCB" w:rsidSect="00AF6BE9">
      <w:footerReference w:type="even" r:id="rId10"/>
      <w:footerReference w:type="default" r:id="rId11"/>
      <w:pgSz w:w="12240" w:h="15840"/>
      <w:pgMar w:top="1440" w:right="1644" w:bottom="1440" w:left="164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7577" w:rsidRDefault="00C87577">
      <w:r>
        <w:separator/>
      </w:r>
    </w:p>
  </w:endnote>
  <w:endnote w:type="continuationSeparator" w:id="0">
    <w:p w:rsidR="00C87577" w:rsidRDefault="00C875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Times Cirilica">
    <w:altName w:val="Courier New"/>
    <w:charset w:val="00"/>
    <w:family w:val="swiss"/>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7577" w:rsidRDefault="00C87577" w:rsidP="00DA45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C87577" w:rsidRDefault="00C87577" w:rsidP="00DA450A">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7577" w:rsidRDefault="00C87577" w:rsidP="00DA45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2371DF">
      <w:rPr>
        <w:rStyle w:val="PageNumber"/>
        <w:noProof/>
      </w:rPr>
      <w:t>25</w:t>
    </w:r>
    <w:r>
      <w:rPr>
        <w:rStyle w:val="PageNumber"/>
      </w:rPr>
      <w:fldChar w:fldCharType="end"/>
    </w:r>
  </w:p>
  <w:p w:rsidR="00C87577" w:rsidRDefault="00C87577" w:rsidP="00DA450A">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7577" w:rsidRDefault="00C87577">
      <w:r>
        <w:separator/>
      </w:r>
    </w:p>
  </w:footnote>
  <w:footnote w:type="continuationSeparator" w:id="0">
    <w:p w:rsidR="00C87577" w:rsidRDefault="00C8757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23921"/>
    <w:multiLevelType w:val="hybridMultilevel"/>
    <w:tmpl w:val="3A1804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0109D4"/>
    <w:multiLevelType w:val="hybridMultilevel"/>
    <w:tmpl w:val="54EA14C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3556574"/>
    <w:multiLevelType w:val="hybridMultilevel"/>
    <w:tmpl w:val="E40898B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46231DD"/>
    <w:multiLevelType w:val="hybridMultilevel"/>
    <w:tmpl w:val="F68ABFC6"/>
    <w:lvl w:ilvl="0" w:tplc="D83C324C">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4D97DDA"/>
    <w:multiLevelType w:val="hybridMultilevel"/>
    <w:tmpl w:val="BD82D1E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8257A1F"/>
    <w:multiLevelType w:val="hybridMultilevel"/>
    <w:tmpl w:val="74F44806"/>
    <w:lvl w:ilvl="0" w:tplc="241A000F">
      <w:start w:val="1"/>
      <w:numFmt w:val="decimal"/>
      <w:lvlText w:val="%1."/>
      <w:lvlJc w:val="left"/>
      <w:pPr>
        <w:tabs>
          <w:tab w:val="num" w:pos="927"/>
        </w:tabs>
        <w:ind w:left="927"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9D067E4"/>
    <w:multiLevelType w:val="hybridMultilevel"/>
    <w:tmpl w:val="DB1AFD62"/>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FFF2EE4"/>
    <w:multiLevelType w:val="hybridMultilevel"/>
    <w:tmpl w:val="5CA46E96"/>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6FD6C6F"/>
    <w:multiLevelType w:val="hybridMultilevel"/>
    <w:tmpl w:val="8280FCC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7CF5E29"/>
    <w:multiLevelType w:val="hybridMultilevel"/>
    <w:tmpl w:val="23E8C1D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284A616B"/>
    <w:multiLevelType w:val="hybridMultilevel"/>
    <w:tmpl w:val="31A8856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FBB6706"/>
    <w:multiLevelType w:val="hybridMultilevel"/>
    <w:tmpl w:val="C7FA4AF4"/>
    <w:lvl w:ilvl="0" w:tplc="111E0DD4">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65F1A09"/>
    <w:multiLevelType w:val="hybridMultilevel"/>
    <w:tmpl w:val="156C481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8CC33FF"/>
    <w:multiLevelType w:val="hybridMultilevel"/>
    <w:tmpl w:val="E004B62A"/>
    <w:lvl w:ilvl="0" w:tplc="42C870D6">
      <w:numFmt w:val="bullet"/>
      <w:lvlText w:val="–"/>
      <w:lvlJc w:val="left"/>
      <w:pPr>
        <w:tabs>
          <w:tab w:val="num" w:pos="927"/>
        </w:tabs>
        <w:ind w:left="927" w:hanging="360"/>
      </w:pPr>
      <w:rPr>
        <w:rFonts w:ascii="Book Antiqua" w:eastAsia="Times New Roman" w:hAnsi="Book Antiqua"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4">
    <w:nsid w:val="392045BB"/>
    <w:multiLevelType w:val="hybridMultilevel"/>
    <w:tmpl w:val="CD6C553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9801D4B"/>
    <w:multiLevelType w:val="multilevel"/>
    <w:tmpl w:val="F72E6404"/>
    <w:lvl w:ilvl="0">
      <w:start w:val="1"/>
      <w:numFmt w:val="upperRoman"/>
      <w:pStyle w:val="Heading1"/>
      <w:lvlText w:val="%1."/>
      <w:lvlJc w:val="left"/>
      <w:pPr>
        <w:tabs>
          <w:tab w:val="num" w:pos="720"/>
        </w:tabs>
        <w:ind w:left="0" w:firstLine="0"/>
      </w:pPr>
      <w:rPr>
        <w:rFonts w:ascii="Times New Roman" w:hAnsi="Times New Roman" w:hint="default"/>
      </w:rPr>
    </w:lvl>
    <w:lvl w:ilvl="1">
      <w:start w:val="1"/>
      <w:numFmt w:val="decimal"/>
      <w:pStyle w:val="Heading2"/>
      <w:lvlText w:val="%2."/>
      <w:lvlJc w:val="left"/>
      <w:pPr>
        <w:tabs>
          <w:tab w:val="num" w:pos="1440"/>
        </w:tabs>
        <w:ind w:left="720" w:firstLine="0"/>
      </w:pPr>
      <w:rPr>
        <w:rFonts w:hint="default"/>
      </w:rPr>
    </w:lvl>
    <w:lvl w:ilvl="2">
      <w:start w:val="1"/>
      <w:numFmt w:val="none"/>
      <w:pStyle w:val="Heading3"/>
      <w:lvlText w:val=""/>
      <w:lvlJc w:val="left"/>
      <w:pPr>
        <w:tabs>
          <w:tab w:val="num" w:pos="1800"/>
        </w:tabs>
        <w:ind w:left="1440" w:firstLine="0"/>
      </w:pPr>
      <w:rPr>
        <w:rFonts w:hint="default"/>
      </w:rPr>
    </w:lvl>
    <w:lvl w:ilvl="3">
      <w:start w:val="1"/>
      <w:numFmt w:val="lowerLetter"/>
      <w:pStyle w:val="Heading4"/>
      <w:lvlText w:val="%4)"/>
      <w:lvlJc w:val="left"/>
      <w:pPr>
        <w:tabs>
          <w:tab w:val="num" w:pos="2520"/>
        </w:tabs>
        <w:ind w:left="2160" w:firstLine="0"/>
      </w:pPr>
      <w:rPr>
        <w:rFonts w:hint="default"/>
      </w:rPr>
    </w:lvl>
    <w:lvl w:ilvl="4">
      <w:start w:val="1"/>
      <w:numFmt w:val="decimal"/>
      <w:pStyle w:val="Heading5"/>
      <w:lvlText w:val="(%5)"/>
      <w:lvlJc w:val="left"/>
      <w:pPr>
        <w:tabs>
          <w:tab w:val="num" w:pos="3240"/>
        </w:tabs>
        <w:ind w:left="2880" w:firstLine="0"/>
      </w:pPr>
      <w:rPr>
        <w:rFonts w:hint="default"/>
      </w:rPr>
    </w:lvl>
    <w:lvl w:ilvl="5">
      <w:start w:val="16"/>
      <w:numFmt w:val="decimal"/>
      <w:pStyle w:val="Heading6"/>
      <w:lvlText w:val="Члан %6."/>
      <w:lvlJc w:val="left"/>
      <w:pPr>
        <w:tabs>
          <w:tab w:val="num" w:pos="5040"/>
        </w:tabs>
        <w:ind w:left="3600" w:firstLine="0"/>
      </w:pPr>
      <w:rPr>
        <w:rFonts w:hint="default"/>
      </w:rPr>
    </w:lvl>
    <w:lvl w:ilvl="6">
      <w:start w:val="1"/>
      <w:numFmt w:val="lowerRoman"/>
      <w:pStyle w:val="Heading7"/>
      <w:lvlText w:val="(%7)"/>
      <w:lvlJc w:val="left"/>
      <w:pPr>
        <w:tabs>
          <w:tab w:val="num" w:pos="4680"/>
        </w:tabs>
        <w:ind w:left="4320" w:firstLine="0"/>
      </w:pPr>
      <w:rPr>
        <w:rFonts w:hint="default"/>
      </w:rPr>
    </w:lvl>
    <w:lvl w:ilvl="7">
      <w:start w:val="1"/>
      <w:numFmt w:val="lowerLetter"/>
      <w:pStyle w:val="Heading8"/>
      <w:lvlText w:val="(%8)"/>
      <w:lvlJc w:val="left"/>
      <w:pPr>
        <w:tabs>
          <w:tab w:val="num" w:pos="5400"/>
        </w:tabs>
        <w:ind w:left="5040" w:firstLine="0"/>
      </w:pPr>
      <w:rPr>
        <w:rFonts w:hint="default"/>
      </w:rPr>
    </w:lvl>
    <w:lvl w:ilvl="8">
      <w:start w:val="1"/>
      <w:numFmt w:val="lowerRoman"/>
      <w:pStyle w:val="Heading9"/>
      <w:lvlText w:val="(%9)"/>
      <w:lvlJc w:val="left"/>
      <w:pPr>
        <w:tabs>
          <w:tab w:val="num" w:pos="6120"/>
        </w:tabs>
        <w:ind w:left="5760" w:firstLine="0"/>
      </w:pPr>
      <w:rPr>
        <w:rFonts w:hint="default"/>
      </w:rPr>
    </w:lvl>
  </w:abstractNum>
  <w:abstractNum w:abstractNumId="16">
    <w:nsid w:val="39E71941"/>
    <w:multiLevelType w:val="hybridMultilevel"/>
    <w:tmpl w:val="680881CA"/>
    <w:lvl w:ilvl="0" w:tplc="04090001">
      <w:start w:val="1"/>
      <w:numFmt w:val="bullet"/>
      <w:lvlText w:val=""/>
      <w:lvlJc w:val="left"/>
      <w:pPr>
        <w:tabs>
          <w:tab w:val="num" w:pos="788"/>
        </w:tabs>
        <w:ind w:left="788" w:hanging="360"/>
      </w:pPr>
      <w:rPr>
        <w:rFonts w:ascii="Symbol" w:hAnsi="Symbol" w:hint="default"/>
      </w:rPr>
    </w:lvl>
    <w:lvl w:ilvl="1" w:tplc="04090003" w:tentative="1">
      <w:start w:val="1"/>
      <w:numFmt w:val="bullet"/>
      <w:lvlText w:val="o"/>
      <w:lvlJc w:val="left"/>
      <w:pPr>
        <w:tabs>
          <w:tab w:val="num" w:pos="1508"/>
        </w:tabs>
        <w:ind w:left="1508" w:hanging="360"/>
      </w:pPr>
      <w:rPr>
        <w:rFonts w:ascii="Courier New" w:hAnsi="Courier New" w:cs="Courier New" w:hint="default"/>
      </w:rPr>
    </w:lvl>
    <w:lvl w:ilvl="2" w:tplc="04090005" w:tentative="1">
      <w:start w:val="1"/>
      <w:numFmt w:val="bullet"/>
      <w:lvlText w:val=""/>
      <w:lvlJc w:val="left"/>
      <w:pPr>
        <w:tabs>
          <w:tab w:val="num" w:pos="2228"/>
        </w:tabs>
        <w:ind w:left="2228" w:hanging="360"/>
      </w:pPr>
      <w:rPr>
        <w:rFonts w:ascii="Wingdings" w:hAnsi="Wingdings" w:hint="default"/>
      </w:rPr>
    </w:lvl>
    <w:lvl w:ilvl="3" w:tplc="04090001" w:tentative="1">
      <w:start w:val="1"/>
      <w:numFmt w:val="bullet"/>
      <w:lvlText w:val=""/>
      <w:lvlJc w:val="left"/>
      <w:pPr>
        <w:tabs>
          <w:tab w:val="num" w:pos="2948"/>
        </w:tabs>
        <w:ind w:left="2948" w:hanging="360"/>
      </w:pPr>
      <w:rPr>
        <w:rFonts w:ascii="Symbol" w:hAnsi="Symbol" w:hint="default"/>
      </w:rPr>
    </w:lvl>
    <w:lvl w:ilvl="4" w:tplc="04090003" w:tentative="1">
      <w:start w:val="1"/>
      <w:numFmt w:val="bullet"/>
      <w:lvlText w:val="o"/>
      <w:lvlJc w:val="left"/>
      <w:pPr>
        <w:tabs>
          <w:tab w:val="num" w:pos="3668"/>
        </w:tabs>
        <w:ind w:left="3668" w:hanging="360"/>
      </w:pPr>
      <w:rPr>
        <w:rFonts w:ascii="Courier New" w:hAnsi="Courier New" w:cs="Courier New" w:hint="default"/>
      </w:rPr>
    </w:lvl>
    <w:lvl w:ilvl="5" w:tplc="04090005" w:tentative="1">
      <w:start w:val="1"/>
      <w:numFmt w:val="bullet"/>
      <w:lvlText w:val=""/>
      <w:lvlJc w:val="left"/>
      <w:pPr>
        <w:tabs>
          <w:tab w:val="num" w:pos="4388"/>
        </w:tabs>
        <w:ind w:left="4388" w:hanging="360"/>
      </w:pPr>
      <w:rPr>
        <w:rFonts w:ascii="Wingdings" w:hAnsi="Wingdings" w:hint="default"/>
      </w:rPr>
    </w:lvl>
    <w:lvl w:ilvl="6" w:tplc="04090001" w:tentative="1">
      <w:start w:val="1"/>
      <w:numFmt w:val="bullet"/>
      <w:lvlText w:val=""/>
      <w:lvlJc w:val="left"/>
      <w:pPr>
        <w:tabs>
          <w:tab w:val="num" w:pos="5108"/>
        </w:tabs>
        <w:ind w:left="5108" w:hanging="360"/>
      </w:pPr>
      <w:rPr>
        <w:rFonts w:ascii="Symbol" w:hAnsi="Symbol" w:hint="default"/>
      </w:rPr>
    </w:lvl>
    <w:lvl w:ilvl="7" w:tplc="04090003" w:tentative="1">
      <w:start w:val="1"/>
      <w:numFmt w:val="bullet"/>
      <w:lvlText w:val="o"/>
      <w:lvlJc w:val="left"/>
      <w:pPr>
        <w:tabs>
          <w:tab w:val="num" w:pos="5828"/>
        </w:tabs>
        <w:ind w:left="5828" w:hanging="360"/>
      </w:pPr>
      <w:rPr>
        <w:rFonts w:ascii="Courier New" w:hAnsi="Courier New" w:cs="Courier New" w:hint="default"/>
      </w:rPr>
    </w:lvl>
    <w:lvl w:ilvl="8" w:tplc="04090005" w:tentative="1">
      <w:start w:val="1"/>
      <w:numFmt w:val="bullet"/>
      <w:lvlText w:val=""/>
      <w:lvlJc w:val="left"/>
      <w:pPr>
        <w:tabs>
          <w:tab w:val="num" w:pos="6548"/>
        </w:tabs>
        <w:ind w:left="6548" w:hanging="360"/>
      </w:pPr>
      <w:rPr>
        <w:rFonts w:ascii="Wingdings" w:hAnsi="Wingdings" w:hint="default"/>
      </w:rPr>
    </w:lvl>
  </w:abstractNum>
  <w:abstractNum w:abstractNumId="17">
    <w:nsid w:val="3F0D1DD6"/>
    <w:multiLevelType w:val="hybridMultilevel"/>
    <w:tmpl w:val="939EB46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FD91DF0"/>
    <w:multiLevelType w:val="hybridMultilevel"/>
    <w:tmpl w:val="525AD28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41161EAC"/>
    <w:multiLevelType w:val="hybridMultilevel"/>
    <w:tmpl w:val="85FEEEF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2F044DF"/>
    <w:multiLevelType w:val="hybridMultilevel"/>
    <w:tmpl w:val="FF340860"/>
    <w:lvl w:ilvl="0" w:tplc="0409000F">
      <w:start w:val="1"/>
      <w:numFmt w:val="decimal"/>
      <w:lvlText w:val="%1."/>
      <w:lvlJc w:val="left"/>
      <w:pPr>
        <w:ind w:left="6881" w:hanging="360"/>
      </w:pPr>
      <w:rPr>
        <w:rFonts w:hint="default"/>
      </w:rPr>
    </w:lvl>
    <w:lvl w:ilvl="1" w:tplc="04090003" w:tentative="1">
      <w:start w:val="1"/>
      <w:numFmt w:val="bullet"/>
      <w:lvlText w:val="o"/>
      <w:lvlJc w:val="left"/>
      <w:pPr>
        <w:ind w:left="7601" w:hanging="360"/>
      </w:pPr>
      <w:rPr>
        <w:rFonts w:ascii="Courier New" w:hAnsi="Courier New" w:cs="Courier New" w:hint="default"/>
      </w:rPr>
    </w:lvl>
    <w:lvl w:ilvl="2" w:tplc="04090005" w:tentative="1">
      <w:start w:val="1"/>
      <w:numFmt w:val="bullet"/>
      <w:lvlText w:val=""/>
      <w:lvlJc w:val="left"/>
      <w:pPr>
        <w:ind w:left="8321" w:hanging="360"/>
      </w:pPr>
      <w:rPr>
        <w:rFonts w:ascii="Wingdings" w:hAnsi="Wingdings" w:hint="default"/>
      </w:rPr>
    </w:lvl>
    <w:lvl w:ilvl="3" w:tplc="04090001" w:tentative="1">
      <w:start w:val="1"/>
      <w:numFmt w:val="bullet"/>
      <w:lvlText w:val=""/>
      <w:lvlJc w:val="left"/>
      <w:pPr>
        <w:ind w:left="9041" w:hanging="360"/>
      </w:pPr>
      <w:rPr>
        <w:rFonts w:ascii="Symbol" w:hAnsi="Symbol" w:hint="default"/>
      </w:rPr>
    </w:lvl>
    <w:lvl w:ilvl="4" w:tplc="04090003" w:tentative="1">
      <w:start w:val="1"/>
      <w:numFmt w:val="bullet"/>
      <w:lvlText w:val="o"/>
      <w:lvlJc w:val="left"/>
      <w:pPr>
        <w:ind w:left="9761" w:hanging="360"/>
      </w:pPr>
      <w:rPr>
        <w:rFonts w:ascii="Courier New" w:hAnsi="Courier New" w:cs="Courier New" w:hint="default"/>
      </w:rPr>
    </w:lvl>
    <w:lvl w:ilvl="5" w:tplc="04090005" w:tentative="1">
      <w:start w:val="1"/>
      <w:numFmt w:val="bullet"/>
      <w:lvlText w:val=""/>
      <w:lvlJc w:val="left"/>
      <w:pPr>
        <w:ind w:left="10481" w:hanging="360"/>
      </w:pPr>
      <w:rPr>
        <w:rFonts w:ascii="Wingdings" w:hAnsi="Wingdings" w:hint="default"/>
      </w:rPr>
    </w:lvl>
    <w:lvl w:ilvl="6" w:tplc="04090001" w:tentative="1">
      <w:start w:val="1"/>
      <w:numFmt w:val="bullet"/>
      <w:lvlText w:val=""/>
      <w:lvlJc w:val="left"/>
      <w:pPr>
        <w:ind w:left="11201" w:hanging="360"/>
      </w:pPr>
      <w:rPr>
        <w:rFonts w:ascii="Symbol" w:hAnsi="Symbol" w:hint="default"/>
      </w:rPr>
    </w:lvl>
    <w:lvl w:ilvl="7" w:tplc="04090003" w:tentative="1">
      <w:start w:val="1"/>
      <w:numFmt w:val="bullet"/>
      <w:lvlText w:val="o"/>
      <w:lvlJc w:val="left"/>
      <w:pPr>
        <w:ind w:left="11921" w:hanging="360"/>
      </w:pPr>
      <w:rPr>
        <w:rFonts w:ascii="Courier New" w:hAnsi="Courier New" w:cs="Courier New" w:hint="default"/>
      </w:rPr>
    </w:lvl>
    <w:lvl w:ilvl="8" w:tplc="04090005" w:tentative="1">
      <w:start w:val="1"/>
      <w:numFmt w:val="bullet"/>
      <w:lvlText w:val=""/>
      <w:lvlJc w:val="left"/>
      <w:pPr>
        <w:ind w:left="12641" w:hanging="360"/>
      </w:pPr>
      <w:rPr>
        <w:rFonts w:ascii="Wingdings" w:hAnsi="Wingdings" w:hint="default"/>
      </w:rPr>
    </w:lvl>
  </w:abstractNum>
  <w:abstractNum w:abstractNumId="21">
    <w:nsid w:val="44413BE4"/>
    <w:multiLevelType w:val="hybridMultilevel"/>
    <w:tmpl w:val="5D0C113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96F71A3"/>
    <w:multiLevelType w:val="hybridMultilevel"/>
    <w:tmpl w:val="D806D8F0"/>
    <w:lvl w:ilvl="0" w:tplc="6E3A3C4C">
      <w:start w:val="1"/>
      <w:numFmt w:val="decimal"/>
      <w:lvlText w:val="%1."/>
      <w:lvlJc w:val="left"/>
      <w:pPr>
        <w:tabs>
          <w:tab w:val="num" w:pos="397"/>
        </w:tabs>
        <w:ind w:left="397" w:hanging="397"/>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1756C11C">
      <w:start w:val="2"/>
      <w:numFmt w:val="bullet"/>
      <w:lvlText w:val="-"/>
      <w:lvlJc w:val="left"/>
      <w:pPr>
        <w:tabs>
          <w:tab w:val="num" w:pos="2880"/>
        </w:tabs>
        <w:ind w:left="2880" w:hanging="360"/>
      </w:pPr>
      <w:rPr>
        <w:rFonts w:ascii="Times New Roman" w:eastAsia="Times New Roman" w:hAnsi="Times New Roman" w:cs="Times New Roman"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4ABA0A35"/>
    <w:multiLevelType w:val="hybridMultilevel"/>
    <w:tmpl w:val="8FEE1DD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E803FCA"/>
    <w:multiLevelType w:val="hybridMultilevel"/>
    <w:tmpl w:val="50902CB0"/>
    <w:lvl w:ilvl="0" w:tplc="B09E43B8">
      <w:start w:val="1"/>
      <w:numFmt w:val="decimal"/>
      <w:pStyle w:val="Stil1"/>
      <w:lvlText w:val="%1."/>
      <w:lvlJc w:val="left"/>
      <w:pPr>
        <w:ind w:left="927" w:hanging="360"/>
      </w:pPr>
      <w:rPr>
        <w:rFonts w:hint="default"/>
      </w:rPr>
    </w:lvl>
    <w:lvl w:ilvl="1" w:tplc="04090019">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4F2A3B5F"/>
    <w:multiLevelType w:val="hybridMultilevel"/>
    <w:tmpl w:val="D276B82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04B1702"/>
    <w:multiLevelType w:val="hybridMultilevel"/>
    <w:tmpl w:val="74FEC0F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6583EE0"/>
    <w:multiLevelType w:val="multilevel"/>
    <w:tmpl w:val="808AB84E"/>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3272"/>
        </w:tabs>
        <w:ind w:left="3272"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8">
    <w:nsid w:val="58492B95"/>
    <w:multiLevelType w:val="hybridMultilevel"/>
    <w:tmpl w:val="37D412E0"/>
    <w:lvl w:ilvl="0" w:tplc="0409000F">
      <w:start w:val="1"/>
      <w:numFmt w:val="decimal"/>
      <w:lvlText w:val="%1."/>
      <w:lvlJc w:val="left"/>
      <w:pPr>
        <w:ind w:left="3960" w:hanging="360"/>
      </w:pPr>
    </w:lvl>
    <w:lvl w:ilvl="1" w:tplc="04090019" w:tentative="1">
      <w:start w:val="1"/>
      <w:numFmt w:val="lowerLetter"/>
      <w:lvlText w:val="%2."/>
      <w:lvlJc w:val="left"/>
      <w:pPr>
        <w:ind w:left="4680" w:hanging="360"/>
      </w:pPr>
    </w:lvl>
    <w:lvl w:ilvl="2" w:tplc="0409001B" w:tentative="1">
      <w:start w:val="1"/>
      <w:numFmt w:val="lowerRoman"/>
      <w:lvlText w:val="%3."/>
      <w:lvlJc w:val="right"/>
      <w:pPr>
        <w:ind w:left="5400" w:hanging="180"/>
      </w:pPr>
    </w:lvl>
    <w:lvl w:ilvl="3" w:tplc="0409000F" w:tentative="1">
      <w:start w:val="1"/>
      <w:numFmt w:val="decimal"/>
      <w:lvlText w:val="%4."/>
      <w:lvlJc w:val="left"/>
      <w:pPr>
        <w:ind w:left="6120" w:hanging="360"/>
      </w:pPr>
    </w:lvl>
    <w:lvl w:ilvl="4" w:tplc="04090019" w:tentative="1">
      <w:start w:val="1"/>
      <w:numFmt w:val="lowerLetter"/>
      <w:lvlText w:val="%5."/>
      <w:lvlJc w:val="left"/>
      <w:pPr>
        <w:ind w:left="6840" w:hanging="360"/>
      </w:pPr>
    </w:lvl>
    <w:lvl w:ilvl="5" w:tplc="0409001B" w:tentative="1">
      <w:start w:val="1"/>
      <w:numFmt w:val="lowerRoman"/>
      <w:lvlText w:val="%6."/>
      <w:lvlJc w:val="right"/>
      <w:pPr>
        <w:ind w:left="7560" w:hanging="180"/>
      </w:pPr>
    </w:lvl>
    <w:lvl w:ilvl="6" w:tplc="0409000F" w:tentative="1">
      <w:start w:val="1"/>
      <w:numFmt w:val="decimal"/>
      <w:lvlText w:val="%7."/>
      <w:lvlJc w:val="left"/>
      <w:pPr>
        <w:ind w:left="8280" w:hanging="360"/>
      </w:pPr>
    </w:lvl>
    <w:lvl w:ilvl="7" w:tplc="04090019" w:tentative="1">
      <w:start w:val="1"/>
      <w:numFmt w:val="lowerLetter"/>
      <w:lvlText w:val="%8."/>
      <w:lvlJc w:val="left"/>
      <w:pPr>
        <w:ind w:left="9000" w:hanging="360"/>
      </w:pPr>
    </w:lvl>
    <w:lvl w:ilvl="8" w:tplc="0409001B" w:tentative="1">
      <w:start w:val="1"/>
      <w:numFmt w:val="lowerRoman"/>
      <w:lvlText w:val="%9."/>
      <w:lvlJc w:val="right"/>
      <w:pPr>
        <w:ind w:left="9720" w:hanging="180"/>
      </w:pPr>
    </w:lvl>
  </w:abstractNum>
  <w:abstractNum w:abstractNumId="29">
    <w:nsid w:val="58B42EEB"/>
    <w:multiLevelType w:val="hybridMultilevel"/>
    <w:tmpl w:val="7AF446C8"/>
    <w:lvl w:ilvl="0" w:tplc="C7C0C0CA">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0">
    <w:nsid w:val="596B29B9"/>
    <w:multiLevelType w:val="hybridMultilevel"/>
    <w:tmpl w:val="B646130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5A967936"/>
    <w:multiLevelType w:val="hybridMultilevel"/>
    <w:tmpl w:val="56FA0C62"/>
    <w:lvl w:ilvl="0" w:tplc="0409000B">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872"/>
        </w:tabs>
        <w:ind w:left="872" w:hanging="360"/>
      </w:pPr>
      <w:rPr>
        <w:rFonts w:ascii="Courier New" w:hAnsi="Courier New" w:cs="Courier New" w:hint="default"/>
      </w:rPr>
    </w:lvl>
    <w:lvl w:ilvl="2" w:tplc="04090005" w:tentative="1">
      <w:start w:val="1"/>
      <w:numFmt w:val="bullet"/>
      <w:lvlText w:val=""/>
      <w:lvlJc w:val="left"/>
      <w:pPr>
        <w:tabs>
          <w:tab w:val="num" w:pos="1592"/>
        </w:tabs>
        <w:ind w:left="1592" w:hanging="360"/>
      </w:pPr>
      <w:rPr>
        <w:rFonts w:ascii="Wingdings" w:hAnsi="Wingdings" w:hint="default"/>
      </w:rPr>
    </w:lvl>
    <w:lvl w:ilvl="3" w:tplc="04090001" w:tentative="1">
      <w:start w:val="1"/>
      <w:numFmt w:val="bullet"/>
      <w:lvlText w:val=""/>
      <w:lvlJc w:val="left"/>
      <w:pPr>
        <w:tabs>
          <w:tab w:val="num" w:pos="2312"/>
        </w:tabs>
        <w:ind w:left="2312" w:hanging="360"/>
      </w:pPr>
      <w:rPr>
        <w:rFonts w:ascii="Symbol" w:hAnsi="Symbol" w:hint="default"/>
      </w:rPr>
    </w:lvl>
    <w:lvl w:ilvl="4" w:tplc="04090003" w:tentative="1">
      <w:start w:val="1"/>
      <w:numFmt w:val="bullet"/>
      <w:lvlText w:val="o"/>
      <w:lvlJc w:val="left"/>
      <w:pPr>
        <w:tabs>
          <w:tab w:val="num" w:pos="3032"/>
        </w:tabs>
        <w:ind w:left="3032" w:hanging="360"/>
      </w:pPr>
      <w:rPr>
        <w:rFonts w:ascii="Courier New" w:hAnsi="Courier New" w:cs="Courier New" w:hint="default"/>
      </w:rPr>
    </w:lvl>
    <w:lvl w:ilvl="5" w:tplc="04090005" w:tentative="1">
      <w:start w:val="1"/>
      <w:numFmt w:val="bullet"/>
      <w:lvlText w:val=""/>
      <w:lvlJc w:val="left"/>
      <w:pPr>
        <w:tabs>
          <w:tab w:val="num" w:pos="3752"/>
        </w:tabs>
        <w:ind w:left="3752" w:hanging="360"/>
      </w:pPr>
      <w:rPr>
        <w:rFonts w:ascii="Wingdings" w:hAnsi="Wingdings" w:hint="default"/>
      </w:rPr>
    </w:lvl>
    <w:lvl w:ilvl="6" w:tplc="04090001" w:tentative="1">
      <w:start w:val="1"/>
      <w:numFmt w:val="bullet"/>
      <w:lvlText w:val=""/>
      <w:lvlJc w:val="left"/>
      <w:pPr>
        <w:tabs>
          <w:tab w:val="num" w:pos="4472"/>
        </w:tabs>
        <w:ind w:left="4472" w:hanging="360"/>
      </w:pPr>
      <w:rPr>
        <w:rFonts w:ascii="Symbol" w:hAnsi="Symbol" w:hint="default"/>
      </w:rPr>
    </w:lvl>
    <w:lvl w:ilvl="7" w:tplc="04090003" w:tentative="1">
      <w:start w:val="1"/>
      <w:numFmt w:val="bullet"/>
      <w:lvlText w:val="o"/>
      <w:lvlJc w:val="left"/>
      <w:pPr>
        <w:tabs>
          <w:tab w:val="num" w:pos="5192"/>
        </w:tabs>
        <w:ind w:left="5192" w:hanging="360"/>
      </w:pPr>
      <w:rPr>
        <w:rFonts w:ascii="Courier New" w:hAnsi="Courier New" w:cs="Courier New" w:hint="default"/>
      </w:rPr>
    </w:lvl>
    <w:lvl w:ilvl="8" w:tplc="04090005" w:tentative="1">
      <w:start w:val="1"/>
      <w:numFmt w:val="bullet"/>
      <w:lvlText w:val=""/>
      <w:lvlJc w:val="left"/>
      <w:pPr>
        <w:tabs>
          <w:tab w:val="num" w:pos="5912"/>
        </w:tabs>
        <w:ind w:left="5912" w:hanging="360"/>
      </w:pPr>
      <w:rPr>
        <w:rFonts w:ascii="Wingdings" w:hAnsi="Wingdings" w:hint="default"/>
      </w:rPr>
    </w:lvl>
  </w:abstractNum>
  <w:abstractNum w:abstractNumId="32">
    <w:nsid w:val="5DDE59EF"/>
    <w:multiLevelType w:val="hybridMultilevel"/>
    <w:tmpl w:val="A26C8E2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1180F83"/>
    <w:multiLevelType w:val="hybridMultilevel"/>
    <w:tmpl w:val="DEE0C91C"/>
    <w:lvl w:ilvl="0" w:tplc="BE822C10">
      <w:numFmt w:val="bullet"/>
      <w:lvlText w:val="-"/>
      <w:lvlJc w:val="left"/>
      <w:pPr>
        <w:ind w:left="1080" w:hanging="360"/>
      </w:pPr>
      <w:rPr>
        <w:rFonts w:ascii="Calibri" w:eastAsia="Times New Roman"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nsid w:val="662973F2"/>
    <w:multiLevelType w:val="multilevel"/>
    <w:tmpl w:val="04090027"/>
    <w:lvl w:ilvl="0">
      <w:start w:val="1"/>
      <w:numFmt w:val="upperRoman"/>
      <w:lvlText w:val="%1."/>
      <w:lvlJc w:val="left"/>
      <w:pPr>
        <w:ind w:left="0" w:firstLine="0"/>
      </w:pPr>
      <w:rPr>
        <w:rFonts w:hint="default"/>
      </w:r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35">
    <w:nsid w:val="664B09D7"/>
    <w:multiLevelType w:val="hybridMultilevel"/>
    <w:tmpl w:val="5C16565A"/>
    <w:lvl w:ilvl="0" w:tplc="04090005">
      <w:start w:val="1"/>
      <w:numFmt w:val="bullet"/>
      <w:lvlText w:val=""/>
      <w:lvlJc w:val="left"/>
      <w:pPr>
        <w:ind w:left="720" w:hanging="360"/>
      </w:pPr>
      <w:rPr>
        <w:rFonts w:ascii="Wingdings" w:hAnsi="Wingdings" w:hint="default"/>
      </w:rPr>
    </w:lvl>
    <w:lvl w:ilvl="1" w:tplc="2B4666DA">
      <w:numFmt w:val="bullet"/>
      <w:lvlText w:val="•"/>
      <w:lvlJc w:val="left"/>
      <w:pPr>
        <w:ind w:left="1440" w:hanging="360"/>
      </w:pPr>
      <w:rPr>
        <w:rFonts w:ascii="Calibri" w:eastAsia="Times New Roman"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9400088"/>
    <w:multiLevelType w:val="hybridMultilevel"/>
    <w:tmpl w:val="3F38D010"/>
    <w:lvl w:ilvl="0" w:tplc="6ECE5DFC">
      <w:start w:val="1"/>
      <w:numFmt w:val="decimal"/>
      <w:lvlText w:val="%1."/>
      <w:lvlJc w:val="left"/>
      <w:pPr>
        <w:tabs>
          <w:tab w:val="num" w:pos="720"/>
        </w:tabs>
        <w:ind w:left="720" w:hanging="360"/>
      </w:pPr>
      <w:rPr>
        <w:rFonts w:hint="default"/>
      </w:rPr>
    </w:lvl>
    <w:lvl w:ilvl="1" w:tplc="244A712E">
      <w:numFmt w:val="none"/>
      <w:lvlText w:val=""/>
      <w:lvlJc w:val="left"/>
      <w:pPr>
        <w:tabs>
          <w:tab w:val="num" w:pos="360"/>
        </w:tabs>
      </w:pPr>
    </w:lvl>
    <w:lvl w:ilvl="2" w:tplc="7538559C">
      <w:numFmt w:val="none"/>
      <w:lvlText w:val=""/>
      <w:lvlJc w:val="left"/>
      <w:pPr>
        <w:tabs>
          <w:tab w:val="num" w:pos="360"/>
        </w:tabs>
      </w:pPr>
    </w:lvl>
    <w:lvl w:ilvl="3" w:tplc="CF709032">
      <w:numFmt w:val="none"/>
      <w:lvlText w:val=""/>
      <w:lvlJc w:val="left"/>
      <w:pPr>
        <w:tabs>
          <w:tab w:val="num" w:pos="360"/>
        </w:tabs>
      </w:pPr>
    </w:lvl>
    <w:lvl w:ilvl="4" w:tplc="4524DA48">
      <w:numFmt w:val="none"/>
      <w:lvlText w:val=""/>
      <w:lvlJc w:val="left"/>
      <w:pPr>
        <w:tabs>
          <w:tab w:val="num" w:pos="360"/>
        </w:tabs>
      </w:pPr>
    </w:lvl>
    <w:lvl w:ilvl="5" w:tplc="9E78F426">
      <w:numFmt w:val="none"/>
      <w:lvlText w:val=""/>
      <w:lvlJc w:val="left"/>
      <w:pPr>
        <w:tabs>
          <w:tab w:val="num" w:pos="360"/>
        </w:tabs>
      </w:pPr>
    </w:lvl>
    <w:lvl w:ilvl="6" w:tplc="DA520BAC">
      <w:numFmt w:val="none"/>
      <w:lvlText w:val=""/>
      <w:lvlJc w:val="left"/>
      <w:pPr>
        <w:tabs>
          <w:tab w:val="num" w:pos="360"/>
        </w:tabs>
      </w:pPr>
    </w:lvl>
    <w:lvl w:ilvl="7" w:tplc="0756DADA">
      <w:numFmt w:val="none"/>
      <w:lvlText w:val=""/>
      <w:lvlJc w:val="left"/>
      <w:pPr>
        <w:tabs>
          <w:tab w:val="num" w:pos="360"/>
        </w:tabs>
      </w:pPr>
    </w:lvl>
    <w:lvl w:ilvl="8" w:tplc="8592D35E">
      <w:numFmt w:val="none"/>
      <w:lvlText w:val=""/>
      <w:lvlJc w:val="left"/>
      <w:pPr>
        <w:tabs>
          <w:tab w:val="num" w:pos="360"/>
        </w:tabs>
      </w:pPr>
    </w:lvl>
  </w:abstractNum>
  <w:abstractNum w:abstractNumId="37">
    <w:nsid w:val="6D0946EC"/>
    <w:multiLevelType w:val="hybridMultilevel"/>
    <w:tmpl w:val="5D644EC0"/>
    <w:lvl w:ilvl="0" w:tplc="8180AAAE">
      <w:numFmt w:val="bullet"/>
      <w:lvlText w:val="-"/>
      <w:lvlJc w:val="left"/>
      <w:pPr>
        <w:ind w:left="720" w:hanging="360"/>
      </w:pPr>
      <w:rPr>
        <w:rFonts w:ascii="Calibri" w:eastAsia="Times New Roman" w:hAnsi="Calibri" w:cs="Calibri" w:hint="default"/>
      </w:rPr>
    </w:lvl>
    <w:lvl w:ilvl="1" w:tplc="6B66AE8E">
      <w:numFmt w:val="bullet"/>
      <w:lvlText w:val="–"/>
      <w:lvlJc w:val="left"/>
      <w:pPr>
        <w:ind w:left="1440" w:hanging="360"/>
      </w:pPr>
      <w:rPr>
        <w:rFonts w:ascii="Calibri" w:eastAsia="Times New Roman"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6E48042F"/>
    <w:multiLevelType w:val="hybridMultilevel"/>
    <w:tmpl w:val="6486FBA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6EA9130F"/>
    <w:multiLevelType w:val="hybridMultilevel"/>
    <w:tmpl w:val="27A2F642"/>
    <w:lvl w:ilvl="0" w:tplc="04090011">
      <w:start w:val="1"/>
      <w:numFmt w:val="decimal"/>
      <w:lvlText w:val="%1)"/>
      <w:lvlJc w:val="left"/>
      <w:pPr>
        <w:ind w:left="72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6FF02D24"/>
    <w:multiLevelType w:val="multilevel"/>
    <w:tmpl w:val="C186D0C2"/>
    <w:lvl w:ilvl="0">
      <w:start w:val="1"/>
      <w:numFmt w:val="decimal"/>
      <w:lvlText w:val="%1."/>
      <w:lvlJc w:val="left"/>
      <w:pPr>
        <w:ind w:left="405" w:hanging="360"/>
      </w:pPr>
      <w:rPr>
        <w:rFonts w:hint="default"/>
      </w:rPr>
    </w:lvl>
    <w:lvl w:ilvl="1">
      <w:start w:val="1"/>
      <w:numFmt w:val="decimal"/>
      <w:lvlText w:val="%2)"/>
      <w:lvlJc w:val="left"/>
      <w:pPr>
        <w:ind w:left="405" w:hanging="360"/>
      </w:pPr>
      <w:rPr>
        <w:rFonts w:hint="default"/>
      </w:rPr>
    </w:lvl>
    <w:lvl w:ilvl="2">
      <w:start w:val="1"/>
      <w:numFmt w:val="decimal"/>
      <w:isLgl/>
      <w:lvlText w:val="%1.%2.%3."/>
      <w:lvlJc w:val="left"/>
      <w:pPr>
        <w:ind w:left="765" w:hanging="720"/>
      </w:pPr>
      <w:rPr>
        <w:rFonts w:hint="default"/>
      </w:rPr>
    </w:lvl>
    <w:lvl w:ilvl="3">
      <w:start w:val="1"/>
      <w:numFmt w:val="decimal"/>
      <w:isLgl/>
      <w:lvlText w:val="%1.%2.%3.%4."/>
      <w:lvlJc w:val="left"/>
      <w:pPr>
        <w:ind w:left="765" w:hanging="720"/>
      </w:pPr>
      <w:rPr>
        <w:rFonts w:hint="default"/>
      </w:rPr>
    </w:lvl>
    <w:lvl w:ilvl="4">
      <w:start w:val="1"/>
      <w:numFmt w:val="decimal"/>
      <w:isLgl/>
      <w:lvlText w:val="%1.%2.%3.%4.%5."/>
      <w:lvlJc w:val="left"/>
      <w:pPr>
        <w:ind w:left="1125" w:hanging="1080"/>
      </w:pPr>
      <w:rPr>
        <w:rFonts w:hint="default"/>
      </w:rPr>
    </w:lvl>
    <w:lvl w:ilvl="5">
      <w:start w:val="1"/>
      <w:numFmt w:val="decimal"/>
      <w:isLgl/>
      <w:lvlText w:val="%1.%2.%3.%4.%5.%6."/>
      <w:lvlJc w:val="left"/>
      <w:pPr>
        <w:ind w:left="1125" w:hanging="1080"/>
      </w:pPr>
      <w:rPr>
        <w:rFonts w:hint="default"/>
      </w:rPr>
    </w:lvl>
    <w:lvl w:ilvl="6">
      <w:start w:val="1"/>
      <w:numFmt w:val="decimal"/>
      <w:isLgl/>
      <w:lvlText w:val="%1.%2.%3.%4.%5.%6.%7."/>
      <w:lvlJc w:val="left"/>
      <w:pPr>
        <w:ind w:left="1485" w:hanging="1440"/>
      </w:pPr>
      <w:rPr>
        <w:rFonts w:hint="default"/>
      </w:rPr>
    </w:lvl>
    <w:lvl w:ilvl="7">
      <w:start w:val="1"/>
      <w:numFmt w:val="decimal"/>
      <w:isLgl/>
      <w:lvlText w:val="%1.%2.%3.%4.%5.%6.%7.%8."/>
      <w:lvlJc w:val="left"/>
      <w:pPr>
        <w:ind w:left="1485" w:hanging="1440"/>
      </w:pPr>
      <w:rPr>
        <w:rFonts w:hint="default"/>
      </w:rPr>
    </w:lvl>
    <w:lvl w:ilvl="8">
      <w:start w:val="1"/>
      <w:numFmt w:val="decimal"/>
      <w:isLgl/>
      <w:lvlText w:val="%1.%2.%3.%4.%5.%6.%7.%8.%9."/>
      <w:lvlJc w:val="left"/>
      <w:pPr>
        <w:ind w:left="1845" w:hanging="1800"/>
      </w:pPr>
      <w:rPr>
        <w:rFonts w:hint="default"/>
      </w:rPr>
    </w:lvl>
  </w:abstractNum>
  <w:abstractNum w:abstractNumId="41">
    <w:nsid w:val="7708313F"/>
    <w:multiLevelType w:val="hybridMultilevel"/>
    <w:tmpl w:val="6A801A34"/>
    <w:lvl w:ilvl="0" w:tplc="2D40619E">
      <w:numFmt w:val="bullet"/>
      <w:lvlText w:val="-"/>
      <w:lvlJc w:val="left"/>
      <w:pPr>
        <w:ind w:left="720" w:hanging="360"/>
      </w:pPr>
      <w:rPr>
        <w:rFonts w:ascii="Calibri" w:eastAsia="Times New Roman" w:hAnsi="Calibri" w:cs="Calibri" w:hint="default"/>
      </w:rPr>
    </w:lvl>
    <w:lvl w:ilvl="1" w:tplc="181A0003" w:tentative="1">
      <w:start w:val="1"/>
      <w:numFmt w:val="bullet"/>
      <w:lvlText w:val="o"/>
      <w:lvlJc w:val="left"/>
      <w:pPr>
        <w:ind w:left="1440" w:hanging="360"/>
      </w:pPr>
      <w:rPr>
        <w:rFonts w:ascii="Courier New" w:hAnsi="Courier New" w:cs="Courier New" w:hint="default"/>
      </w:rPr>
    </w:lvl>
    <w:lvl w:ilvl="2" w:tplc="181A0005" w:tentative="1">
      <w:start w:val="1"/>
      <w:numFmt w:val="bullet"/>
      <w:lvlText w:val=""/>
      <w:lvlJc w:val="left"/>
      <w:pPr>
        <w:ind w:left="2160" w:hanging="360"/>
      </w:pPr>
      <w:rPr>
        <w:rFonts w:ascii="Wingdings" w:hAnsi="Wingdings" w:hint="default"/>
      </w:rPr>
    </w:lvl>
    <w:lvl w:ilvl="3" w:tplc="181A0001" w:tentative="1">
      <w:start w:val="1"/>
      <w:numFmt w:val="bullet"/>
      <w:lvlText w:val=""/>
      <w:lvlJc w:val="left"/>
      <w:pPr>
        <w:ind w:left="2880" w:hanging="360"/>
      </w:pPr>
      <w:rPr>
        <w:rFonts w:ascii="Symbol" w:hAnsi="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hint="default"/>
      </w:rPr>
    </w:lvl>
    <w:lvl w:ilvl="6" w:tplc="181A0001" w:tentative="1">
      <w:start w:val="1"/>
      <w:numFmt w:val="bullet"/>
      <w:lvlText w:val=""/>
      <w:lvlJc w:val="left"/>
      <w:pPr>
        <w:ind w:left="5040" w:hanging="360"/>
      </w:pPr>
      <w:rPr>
        <w:rFonts w:ascii="Symbol" w:hAnsi="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hint="default"/>
      </w:rPr>
    </w:lvl>
  </w:abstractNum>
  <w:abstractNum w:abstractNumId="42">
    <w:nsid w:val="77467ED9"/>
    <w:multiLevelType w:val="hybridMultilevel"/>
    <w:tmpl w:val="49941B50"/>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nsid w:val="78536A86"/>
    <w:multiLevelType w:val="multilevel"/>
    <w:tmpl w:val="B5AE5A2E"/>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44">
    <w:nsid w:val="7C20378A"/>
    <w:multiLevelType w:val="hybridMultilevel"/>
    <w:tmpl w:val="E6AE6758"/>
    <w:lvl w:ilvl="0" w:tplc="B776A86C">
      <w:start w:val="2"/>
      <w:numFmt w:val="decimal"/>
      <w:lvlText w:val="%1."/>
      <w:lvlJc w:val="left"/>
      <w:pPr>
        <w:tabs>
          <w:tab w:val="num" w:pos="1085"/>
        </w:tabs>
        <w:ind w:left="1085" w:hanging="600"/>
      </w:pPr>
      <w:rPr>
        <w:rFonts w:hint="default"/>
        <w:b/>
      </w:rPr>
    </w:lvl>
    <w:lvl w:ilvl="1" w:tplc="04090019" w:tentative="1">
      <w:start w:val="1"/>
      <w:numFmt w:val="lowerLetter"/>
      <w:lvlText w:val="%2."/>
      <w:lvlJc w:val="left"/>
      <w:pPr>
        <w:tabs>
          <w:tab w:val="num" w:pos="1565"/>
        </w:tabs>
        <w:ind w:left="1565" w:hanging="360"/>
      </w:pPr>
    </w:lvl>
    <w:lvl w:ilvl="2" w:tplc="0409001B" w:tentative="1">
      <w:start w:val="1"/>
      <w:numFmt w:val="lowerRoman"/>
      <w:lvlText w:val="%3."/>
      <w:lvlJc w:val="right"/>
      <w:pPr>
        <w:tabs>
          <w:tab w:val="num" w:pos="2285"/>
        </w:tabs>
        <w:ind w:left="2285" w:hanging="180"/>
      </w:pPr>
    </w:lvl>
    <w:lvl w:ilvl="3" w:tplc="0409000F" w:tentative="1">
      <w:start w:val="1"/>
      <w:numFmt w:val="decimal"/>
      <w:lvlText w:val="%4."/>
      <w:lvlJc w:val="left"/>
      <w:pPr>
        <w:tabs>
          <w:tab w:val="num" w:pos="3005"/>
        </w:tabs>
        <w:ind w:left="3005" w:hanging="360"/>
      </w:pPr>
    </w:lvl>
    <w:lvl w:ilvl="4" w:tplc="04090019" w:tentative="1">
      <w:start w:val="1"/>
      <w:numFmt w:val="lowerLetter"/>
      <w:lvlText w:val="%5."/>
      <w:lvlJc w:val="left"/>
      <w:pPr>
        <w:tabs>
          <w:tab w:val="num" w:pos="3725"/>
        </w:tabs>
        <w:ind w:left="3725" w:hanging="360"/>
      </w:pPr>
    </w:lvl>
    <w:lvl w:ilvl="5" w:tplc="0409001B" w:tentative="1">
      <w:start w:val="1"/>
      <w:numFmt w:val="lowerRoman"/>
      <w:lvlText w:val="%6."/>
      <w:lvlJc w:val="right"/>
      <w:pPr>
        <w:tabs>
          <w:tab w:val="num" w:pos="4445"/>
        </w:tabs>
        <w:ind w:left="4445" w:hanging="180"/>
      </w:pPr>
    </w:lvl>
    <w:lvl w:ilvl="6" w:tplc="0409000F" w:tentative="1">
      <w:start w:val="1"/>
      <w:numFmt w:val="decimal"/>
      <w:lvlText w:val="%7."/>
      <w:lvlJc w:val="left"/>
      <w:pPr>
        <w:tabs>
          <w:tab w:val="num" w:pos="5165"/>
        </w:tabs>
        <w:ind w:left="5165" w:hanging="360"/>
      </w:pPr>
    </w:lvl>
    <w:lvl w:ilvl="7" w:tplc="04090019" w:tentative="1">
      <w:start w:val="1"/>
      <w:numFmt w:val="lowerLetter"/>
      <w:lvlText w:val="%8."/>
      <w:lvlJc w:val="left"/>
      <w:pPr>
        <w:tabs>
          <w:tab w:val="num" w:pos="5885"/>
        </w:tabs>
        <w:ind w:left="5885" w:hanging="360"/>
      </w:pPr>
    </w:lvl>
    <w:lvl w:ilvl="8" w:tplc="0409001B" w:tentative="1">
      <w:start w:val="1"/>
      <w:numFmt w:val="lowerRoman"/>
      <w:lvlText w:val="%9."/>
      <w:lvlJc w:val="right"/>
      <w:pPr>
        <w:tabs>
          <w:tab w:val="num" w:pos="6605"/>
        </w:tabs>
        <w:ind w:left="6605" w:hanging="180"/>
      </w:pPr>
    </w:lvl>
  </w:abstractNum>
  <w:num w:numId="1">
    <w:abstractNumId w:val="30"/>
  </w:num>
  <w:num w:numId="2">
    <w:abstractNumId w:val="9"/>
  </w:num>
  <w:num w:numId="3">
    <w:abstractNumId w:val="36"/>
  </w:num>
  <w:num w:numId="4">
    <w:abstractNumId w:val="15"/>
  </w:num>
  <w:num w:numId="5">
    <w:abstractNumId w:val="18"/>
  </w:num>
  <w:num w:numId="6">
    <w:abstractNumId w:val="42"/>
  </w:num>
  <w:num w:numId="7">
    <w:abstractNumId w:val="44"/>
  </w:num>
  <w:num w:numId="8">
    <w:abstractNumId w:val="22"/>
  </w:num>
  <w:num w:numId="9">
    <w:abstractNumId w:val="39"/>
  </w:num>
  <w:num w:numId="10">
    <w:abstractNumId w:val="32"/>
  </w:num>
  <w:num w:numId="11">
    <w:abstractNumId w:val="11"/>
  </w:num>
  <w:num w:numId="12">
    <w:abstractNumId w:val="4"/>
  </w:num>
  <w:num w:numId="13">
    <w:abstractNumId w:val="16"/>
  </w:num>
  <w:num w:numId="14">
    <w:abstractNumId w:val="40"/>
  </w:num>
  <w:num w:numId="15">
    <w:abstractNumId w:val="43"/>
  </w:num>
  <w:num w:numId="16">
    <w:abstractNumId w:val="20"/>
  </w:num>
  <w:num w:numId="17">
    <w:abstractNumId w:val="38"/>
  </w:num>
  <w:num w:numId="18">
    <w:abstractNumId w:val="34"/>
  </w:num>
  <w:num w:numId="19">
    <w:abstractNumId w:val="13"/>
  </w:num>
  <w:num w:numId="20">
    <w:abstractNumId w:val="27"/>
  </w:num>
  <w:num w:numId="21">
    <w:abstractNumId w:val="1"/>
  </w:num>
  <w:num w:numId="22">
    <w:abstractNumId w:val="33"/>
  </w:num>
  <w:num w:numId="23">
    <w:abstractNumId w:val="28"/>
  </w:num>
  <w:num w:numId="24">
    <w:abstractNumId w:val="0"/>
  </w:num>
  <w:num w:numId="25">
    <w:abstractNumId w:val="10"/>
  </w:num>
  <w:num w:numId="26">
    <w:abstractNumId w:val="23"/>
  </w:num>
  <w:num w:numId="27">
    <w:abstractNumId w:val="2"/>
  </w:num>
  <w:num w:numId="28">
    <w:abstractNumId w:val="26"/>
  </w:num>
  <w:num w:numId="29">
    <w:abstractNumId w:val="19"/>
  </w:num>
  <w:num w:numId="30">
    <w:abstractNumId w:val="7"/>
  </w:num>
  <w:num w:numId="31">
    <w:abstractNumId w:val="37"/>
  </w:num>
  <w:num w:numId="32">
    <w:abstractNumId w:val="14"/>
  </w:num>
  <w:num w:numId="33">
    <w:abstractNumId w:val="17"/>
  </w:num>
  <w:num w:numId="34">
    <w:abstractNumId w:val="3"/>
  </w:num>
  <w:num w:numId="35">
    <w:abstractNumId w:val="35"/>
  </w:num>
  <w:num w:numId="36">
    <w:abstractNumId w:val="8"/>
  </w:num>
  <w:num w:numId="37">
    <w:abstractNumId w:val="6"/>
  </w:num>
  <w:num w:numId="38">
    <w:abstractNumId w:val="12"/>
  </w:num>
  <w:num w:numId="39">
    <w:abstractNumId w:val="21"/>
  </w:num>
  <w:num w:numId="40">
    <w:abstractNumId w:val="25"/>
  </w:num>
  <w:num w:numId="41">
    <w:abstractNumId w:val="31"/>
  </w:num>
  <w:num w:numId="42">
    <w:abstractNumId w:val="41"/>
  </w:num>
  <w:num w:numId="43">
    <w:abstractNumId w:val="5"/>
  </w:num>
  <w:num w:numId="44">
    <w:abstractNumId w:val="29"/>
  </w:num>
  <w:num w:numId="45">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7944"/>
    <w:rsid w:val="000029A2"/>
    <w:rsid w:val="00004F31"/>
    <w:rsid w:val="00005285"/>
    <w:rsid w:val="000077B8"/>
    <w:rsid w:val="00007F24"/>
    <w:rsid w:val="000120EE"/>
    <w:rsid w:val="00012461"/>
    <w:rsid w:val="0001289A"/>
    <w:rsid w:val="00012A11"/>
    <w:rsid w:val="00012C36"/>
    <w:rsid w:val="00016EBE"/>
    <w:rsid w:val="000171CD"/>
    <w:rsid w:val="000203A6"/>
    <w:rsid w:val="00022792"/>
    <w:rsid w:val="00023F4E"/>
    <w:rsid w:val="0002568E"/>
    <w:rsid w:val="000273CF"/>
    <w:rsid w:val="000276D1"/>
    <w:rsid w:val="0002774B"/>
    <w:rsid w:val="00027C2D"/>
    <w:rsid w:val="0003113B"/>
    <w:rsid w:val="00031DB8"/>
    <w:rsid w:val="00032E5A"/>
    <w:rsid w:val="00033EDB"/>
    <w:rsid w:val="000343A9"/>
    <w:rsid w:val="00034508"/>
    <w:rsid w:val="0003521B"/>
    <w:rsid w:val="00035541"/>
    <w:rsid w:val="000358AC"/>
    <w:rsid w:val="000358C3"/>
    <w:rsid w:val="00035D2A"/>
    <w:rsid w:val="00035EFB"/>
    <w:rsid w:val="000360D4"/>
    <w:rsid w:val="000363F3"/>
    <w:rsid w:val="0003660C"/>
    <w:rsid w:val="000369E8"/>
    <w:rsid w:val="00041426"/>
    <w:rsid w:val="00041C33"/>
    <w:rsid w:val="00041F39"/>
    <w:rsid w:val="000426B7"/>
    <w:rsid w:val="00042897"/>
    <w:rsid w:val="00043438"/>
    <w:rsid w:val="00043439"/>
    <w:rsid w:val="00046815"/>
    <w:rsid w:val="00047E4A"/>
    <w:rsid w:val="00050213"/>
    <w:rsid w:val="000537DF"/>
    <w:rsid w:val="000545D4"/>
    <w:rsid w:val="00054AE5"/>
    <w:rsid w:val="00054F53"/>
    <w:rsid w:val="00055517"/>
    <w:rsid w:val="00055927"/>
    <w:rsid w:val="00055A2A"/>
    <w:rsid w:val="00063553"/>
    <w:rsid w:val="00063928"/>
    <w:rsid w:val="00064008"/>
    <w:rsid w:val="00065484"/>
    <w:rsid w:val="00065C9B"/>
    <w:rsid w:val="00066B6E"/>
    <w:rsid w:val="00066BE2"/>
    <w:rsid w:val="000673B3"/>
    <w:rsid w:val="00067CA5"/>
    <w:rsid w:val="00067D3A"/>
    <w:rsid w:val="000707A4"/>
    <w:rsid w:val="00071161"/>
    <w:rsid w:val="000731CE"/>
    <w:rsid w:val="000738E2"/>
    <w:rsid w:val="00073CB9"/>
    <w:rsid w:val="000742B3"/>
    <w:rsid w:val="00074E68"/>
    <w:rsid w:val="000764D3"/>
    <w:rsid w:val="000767A6"/>
    <w:rsid w:val="00077F12"/>
    <w:rsid w:val="000822F7"/>
    <w:rsid w:val="000853C5"/>
    <w:rsid w:val="000857B4"/>
    <w:rsid w:val="000858B2"/>
    <w:rsid w:val="000860A5"/>
    <w:rsid w:val="00086119"/>
    <w:rsid w:val="000902D6"/>
    <w:rsid w:val="00090C4B"/>
    <w:rsid w:val="0009145D"/>
    <w:rsid w:val="00091FF7"/>
    <w:rsid w:val="000924CB"/>
    <w:rsid w:val="000940D8"/>
    <w:rsid w:val="00094386"/>
    <w:rsid w:val="0009478F"/>
    <w:rsid w:val="00094C92"/>
    <w:rsid w:val="000A1A6D"/>
    <w:rsid w:val="000A200E"/>
    <w:rsid w:val="000A41B9"/>
    <w:rsid w:val="000A44ED"/>
    <w:rsid w:val="000A4917"/>
    <w:rsid w:val="000A4920"/>
    <w:rsid w:val="000A4DEB"/>
    <w:rsid w:val="000A4F0D"/>
    <w:rsid w:val="000A5028"/>
    <w:rsid w:val="000A741B"/>
    <w:rsid w:val="000A76E6"/>
    <w:rsid w:val="000B183C"/>
    <w:rsid w:val="000B3E5D"/>
    <w:rsid w:val="000B4769"/>
    <w:rsid w:val="000B5E4F"/>
    <w:rsid w:val="000C0214"/>
    <w:rsid w:val="000C0A6E"/>
    <w:rsid w:val="000C10D4"/>
    <w:rsid w:val="000C1413"/>
    <w:rsid w:val="000C1A57"/>
    <w:rsid w:val="000C272B"/>
    <w:rsid w:val="000C38DA"/>
    <w:rsid w:val="000C3FA0"/>
    <w:rsid w:val="000C40CB"/>
    <w:rsid w:val="000C483E"/>
    <w:rsid w:val="000C4E86"/>
    <w:rsid w:val="000C5C92"/>
    <w:rsid w:val="000C6687"/>
    <w:rsid w:val="000C6983"/>
    <w:rsid w:val="000D1463"/>
    <w:rsid w:val="000D190D"/>
    <w:rsid w:val="000D3894"/>
    <w:rsid w:val="000D3D3F"/>
    <w:rsid w:val="000D4E6A"/>
    <w:rsid w:val="000D66D2"/>
    <w:rsid w:val="000D70A5"/>
    <w:rsid w:val="000D7B3E"/>
    <w:rsid w:val="000E0B6C"/>
    <w:rsid w:val="000E0EA3"/>
    <w:rsid w:val="000E0EAC"/>
    <w:rsid w:val="000E2EB5"/>
    <w:rsid w:val="000E3CC9"/>
    <w:rsid w:val="000E3CDD"/>
    <w:rsid w:val="000E40EA"/>
    <w:rsid w:val="000E4F39"/>
    <w:rsid w:val="000E569A"/>
    <w:rsid w:val="000E7051"/>
    <w:rsid w:val="000E777F"/>
    <w:rsid w:val="000F02C9"/>
    <w:rsid w:val="000F0439"/>
    <w:rsid w:val="000F065D"/>
    <w:rsid w:val="000F11DF"/>
    <w:rsid w:val="000F1234"/>
    <w:rsid w:val="000F3445"/>
    <w:rsid w:val="000F4A2D"/>
    <w:rsid w:val="000F5750"/>
    <w:rsid w:val="000F69AE"/>
    <w:rsid w:val="000F7C72"/>
    <w:rsid w:val="0010199A"/>
    <w:rsid w:val="00101CBA"/>
    <w:rsid w:val="00102EDD"/>
    <w:rsid w:val="00103146"/>
    <w:rsid w:val="00103751"/>
    <w:rsid w:val="00103E33"/>
    <w:rsid w:val="00104D2E"/>
    <w:rsid w:val="00107E71"/>
    <w:rsid w:val="001121FE"/>
    <w:rsid w:val="00112F7D"/>
    <w:rsid w:val="001133CB"/>
    <w:rsid w:val="00114520"/>
    <w:rsid w:val="00117CEE"/>
    <w:rsid w:val="00117F9E"/>
    <w:rsid w:val="00120E93"/>
    <w:rsid w:val="00121128"/>
    <w:rsid w:val="001212C5"/>
    <w:rsid w:val="00121706"/>
    <w:rsid w:val="00121D46"/>
    <w:rsid w:val="0012210D"/>
    <w:rsid w:val="0012312C"/>
    <w:rsid w:val="001239AF"/>
    <w:rsid w:val="00123B97"/>
    <w:rsid w:val="001255C3"/>
    <w:rsid w:val="00125A0E"/>
    <w:rsid w:val="001260AB"/>
    <w:rsid w:val="001268C0"/>
    <w:rsid w:val="00126E6D"/>
    <w:rsid w:val="001304EA"/>
    <w:rsid w:val="00130798"/>
    <w:rsid w:val="0013121B"/>
    <w:rsid w:val="001340EC"/>
    <w:rsid w:val="0013416E"/>
    <w:rsid w:val="00134F54"/>
    <w:rsid w:val="00135C07"/>
    <w:rsid w:val="001405C2"/>
    <w:rsid w:val="0014073B"/>
    <w:rsid w:val="00140E62"/>
    <w:rsid w:val="00141A3E"/>
    <w:rsid w:val="00141DF5"/>
    <w:rsid w:val="00142158"/>
    <w:rsid w:val="0014217D"/>
    <w:rsid w:val="0014238E"/>
    <w:rsid w:val="00142F6A"/>
    <w:rsid w:val="00146187"/>
    <w:rsid w:val="00146DE3"/>
    <w:rsid w:val="0015284F"/>
    <w:rsid w:val="001537DC"/>
    <w:rsid w:val="00153EAB"/>
    <w:rsid w:val="0015606E"/>
    <w:rsid w:val="001608EC"/>
    <w:rsid w:val="00161F04"/>
    <w:rsid w:val="0016308F"/>
    <w:rsid w:val="0016339F"/>
    <w:rsid w:val="001634BD"/>
    <w:rsid w:val="0016523B"/>
    <w:rsid w:val="00166821"/>
    <w:rsid w:val="00166D1F"/>
    <w:rsid w:val="0016747A"/>
    <w:rsid w:val="00167C35"/>
    <w:rsid w:val="0017149E"/>
    <w:rsid w:val="00171BC5"/>
    <w:rsid w:val="0017201E"/>
    <w:rsid w:val="00172108"/>
    <w:rsid w:val="001725FA"/>
    <w:rsid w:val="00173228"/>
    <w:rsid w:val="001742F2"/>
    <w:rsid w:val="001759D3"/>
    <w:rsid w:val="00175A26"/>
    <w:rsid w:val="001765B9"/>
    <w:rsid w:val="001768D2"/>
    <w:rsid w:val="00177BED"/>
    <w:rsid w:val="00180B84"/>
    <w:rsid w:val="00180B8A"/>
    <w:rsid w:val="00182BF3"/>
    <w:rsid w:val="00183678"/>
    <w:rsid w:val="00183AE9"/>
    <w:rsid w:val="00184822"/>
    <w:rsid w:val="00184E45"/>
    <w:rsid w:val="00185103"/>
    <w:rsid w:val="00186186"/>
    <w:rsid w:val="00186809"/>
    <w:rsid w:val="00186D5A"/>
    <w:rsid w:val="001870E2"/>
    <w:rsid w:val="001902D4"/>
    <w:rsid w:val="001907B7"/>
    <w:rsid w:val="00192051"/>
    <w:rsid w:val="001930A3"/>
    <w:rsid w:val="001938AE"/>
    <w:rsid w:val="00196272"/>
    <w:rsid w:val="001975D5"/>
    <w:rsid w:val="00197DFB"/>
    <w:rsid w:val="001A14E4"/>
    <w:rsid w:val="001A1AE4"/>
    <w:rsid w:val="001A396A"/>
    <w:rsid w:val="001A3D5B"/>
    <w:rsid w:val="001A709A"/>
    <w:rsid w:val="001A7FB3"/>
    <w:rsid w:val="001B1D18"/>
    <w:rsid w:val="001B2B44"/>
    <w:rsid w:val="001B343B"/>
    <w:rsid w:val="001B4C3F"/>
    <w:rsid w:val="001B5349"/>
    <w:rsid w:val="001B64F3"/>
    <w:rsid w:val="001B6517"/>
    <w:rsid w:val="001B70FE"/>
    <w:rsid w:val="001B71F0"/>
    <w:rsid w:val="001B7A80"/>
    <w:rsid w:val="001C1C11"/>
    <w:rsid w:val="001C326F"/>
    <w:rsid w:val="001C61BA"/>
    <w:rsid w:val="001C6276"/>
    <w:rsid w:val="001C6448"/>
    <w:rsid w:val="001C67F4"/>
    <w:rsid w:val="001C6879"/>
    <w:rsid w:val="001C6A15"/>
    <w:rsid w:val="001D0767"/>
    <w:rsid w:val="001D1804"/>
    <w:rsid w:val="001D3AF2"/>
    <w:rsid w:val="001D5144"/>
    <w:rsid w:val="001D703C"/>
    <w:rsid w:val="001E01FB"/>
    <w:rsid w:val="001E0BF2"/>
    <w:rsid w:val="001E1EBA"/>
    <w:rsid w:val="001E1EE4"/>
    <w:rsid w:val="001E38D7"/>
    <w:rsid w:val="001E5187"/>
    <w:rsid w:val="001E5324"/>
    <w:rsid w:val="001E770D"/>
    <w:rsid w:val="001E777D"/>
    <w:rsid w:val="001F14A6"/>
    <w:rsid w:val="001F1B14"/>
    <w:rsid w:val="001F2A6C"/>
    <w:rsid w:val="001F31AF"/>
    <w:rsid w:val="001F6186"/>
    <w:rsid w:val="001F72AB"/>
    <w:rsid w:val="001F7FA3"/>
    <w:rsid w:val="0020093E"/>
    <w:rsid w:val="00201255"/>
    <w:rsid w:val="00201B1C"/>
    <w:rsid w:val="002021FC"/>
    <w:rsid w:val="002025C4"/>
    <w:rsid w:val="002026C2"/>
    <w:rsid w:val="00202918"/>
    <w:rsid w:val="00202B74"/>
    <w:rsid w:val="00202B95"/>
    <w:rsid w:val="00202BFA"/>
    <w:rsid w:val="002039BB"/>
    <w:rsid w:val="00205B49"/>
    <w:rsid w:val="002061A4"/>
    <w:rsid w:val="00206502"/>
    <w:rsid w:val="00206620"/>
    <w:rsid w:val="0020684D"/>
    <w:rsid w:val="002100B7"/>
    <w:rsid w:val="0021106E"/>
    <w:rsid w:val="002127E2"/>
    <w:rsid w:val="00212DD2"/>
    <w:rsid w:val="0021366B"/>
    <w:rsid w:val="00213AEF"/>
    <w:rsid w:val="00213CCF"/>
    <w:rsid w:val="00215503"/>
    <w:rsid w:val="00220668"/>
    <w:rsid w:val="00221C75"/>
    <w:rsid w:val="00222039"/>
    <w:rsid w:val="002241A2"/>
    <w:rsid w:val="00224CD8"/>
    <w:rsid w:val="00224E31"/>
    <w:rsid w:val="00224F2F"/>
    <w:rsid w:val="00225459"/>
    <w:rsid w:val="0022567F"/>
    <w:rsid w:val="002259A1"/>
    <w:rsid w:val="00230FDE"/>
    <w:rsid w:val="002316B5"/>
    <w:rsid w:val="00232F0D"/>
    <w:rsid w:val="00232F6B"/>
    <w:rsid w:val="0023385E"/>
    <w:rsid w:val="00234697"/>
    <w:rsid w:val="00236AA5"/>
    <w:rsid w:val="002371DF"/>
    <w:rsid w:val="002377D8"/>
    <w:rsid w:val="00240AE0"/>
    <w:rsid w:val="00241D1F"/>
    <w:rsid w:val="0024294B"/>
    <w:rsid w:val="00245FF6"/>
    <w:rsid w:val="0024771C"/>
    <w:rsid w:val="0025135A"/>
    <w:rsid w:val="00251743"/>
    <w:rsid w:val="002542BE"/>
    <w:rsid w:val="002561A3"/>
    <w:rsid w:val="00260E82"/>
    <w:rsid w:val="00261D97"/>
    <w:rsid w:val="00261F23"/>
    <w:rsid w:val="0026423F"/>
    <w:rsid w:val="002665A1"/>
    <w:rsid w:val="00271071"/>
    <w:rsid w:val="002716B4"/>
    <w:rsid w:val="002727B6"/>
    <w:rsid w:val="00273248"/>
    <w:rsid w:val="0027556B"/>
    <w:rsid w:val="002765E2"/>
    <w:rsid w:val="00276B50"/>
    <w:rsid w:val="00277099"/>
    <w:rsid w:val="0027743E"/>
    <w:rsid w:val="002774B4"/>
    <w:rsid w:val="00277C83"/>
    <w:rsid w:val="00282079"/>
    <w:rsid w:val="00282917"/>
    <w:rsid w:val="002834CE"/>
    <w:rsid w:val="00283A21"/>
    <w:rsid w:val="002841E8"/>
    <w:rsid w:val="00284F2B"/>
    <w:rsid w:val="00284F58"/>
    <w:rsid w:val="002850B6"/>
    <w:rsid w:val="00287B0D"/>
    <w:rsid w:val="00290BA3"/>
    <w:rsid w:val="00290CA3"/>
    <w:rsid w:val="00290D2E"/>
    <w:rsid w:val="002915D5"/>
    <w:rsid w:val="00293717"/>
    <w:rsid w:val="00296C28"/>
    <w:rsid w:val="00296EF8"/>
    <w:rsid w:val="002A1D02"/>
    <w:rsid w:val="002A3061"/>
    <w:rsid w:val="002A35D7"/>
    <w:rsid w:val="002A3CF5"/>
    <w:rsid w:val="002A55A7"/>
    <w:rsid w:val="002A6882"/>
    <w:rsid w:val="002A6F15"/>
    <w:rsid w:val="002A7233"/>
    <w:rsid w:val="002A7653"/>
    <w:rsid w:val="002B0B7F"/>
    <w:rsid w:val="002B16D6"/>
    <w:rsid w:val="002B325A"/>
    <w:rsid w:val="002B3FAE"/>
    <w:rsid w:val="002B6A52"/>
    <w:rsid w:val="002B70FD"/>
    <w:rsid w:val="002B71B0"/>
    <w:rsid w:val="002C06B9"/>
    <w:rsid w:val="002C19C3"/>
    <w:rsid w:val="002C1F7E"/>
    <w:rsid w:val="002C2B4F"/>
    <w:rsid w:val="002C2C11"/>
    <w:rsid w:val="002C4B87"/>
    <w:rsid w:val="002C4C0D"/>
    <w:rsid w:val="002C4EE9"/>
    <w:rsid w:val="002C500E"/>
    <w:rsid w:val="002C528A"/>
    <w:rsid w:val="002C5856"/>
    <w:rsid w:val="002C5983"/>
    <w:rsid w:val="002D0CFF"/>
    <w:rsid w:val="002D1B63"/>
    <w:rsid w:val="002D386D"/>
    <w:rsid w:val="002D3885"/>
    <w:rsid w:val="002D6240"/>
    <w:rsid w:val="002D63B9"/>
    <w:rsid w:val="002D6A6A"/>
    <w:rsid w:val="002E1989"/>
    <w:rsid w:val="002E356C"/>
    <w:rsid w:val="002E5F96"/>
    <w:rsid w:val="002E6EF3"/>
    <w:rsid w:val="002F01C0"/>
    <w:rsid w:val="002F0559"/>
    <w:rsid w:val="002F2431"/>
    <w:rsid w:val="002F277C"/>
    <w:rsid w:val="002F2C07"/>
    <w:rsid w:val="002F56B0"/>
    <w:rsid w:val="002F5814"/>
    <w:rsid w:val="002F6327"/>
    <w:rsid w:val="002F6718"/>
    <w:rsid w:val="002F747B"/>
    <w:rsid w:val="003016A8"/>
    <w:rsid w:val="003033C5"/>
    <w:rsid w:val="00304278"/>
    <w:rsid w:val="00304349"/>
    <w:rsid w:val="00305180"/>
    <w:rsid w:val="00305221"/>
    <w:rsid w:val="00305B61"/>
    <w:rsid w:val="0030629B"/>
    <w:rsid w:val="003067A5"/>
    <w:rsid w:val="0030720B"/>
    <w:rsid w:val="00307EF1"/>
    <w:rsid w:val="003101E4"/>
    <w:rsid w:val="003115D6"/>
    <w:rsid w:val="0031195E"/>
    <w:rsid w:val="00312F93"/>
    <w:rsid w:val="00313A5C"/>
    <w:rsid w:val="00313EBF"/>
    <w:rsid w:val="003147F7"/>
    <w:rsid w:val="0031580A"/>
    <w:rsid w:val="003160B5"/>
    <w:rsid w:val="003160B8"/>
    <w:rsid w:val="00317DA5"/>
    <w:rsid w:val="00317E8A"/>
    <w:rsid w:val="00317F3F"/>
    <w:rsid w:val="003206B9"/>
    <w:rsid w:val="00321C8E"/>
    <w:rsid w:val="00321F78"/>
    <w:rsid w:val="003223B8"/>
    <w:rsid w:val="003238A3"/>
    <w:rsid w:val="00324EF4"/>
    <w:rsid w:val="0032569B"/>
    <w:rsid w:val="003259E6"/>
    <w:rsid w:val="00330DC3"/>
    <w:rsid w:val="0033169F"/>
    <w:rsid w:val="003320F5"/>
    <w:rsid w:val="003322F1"/>
    <w:rsid w:val="0033245B"/>
    <w:rsid w:val="00333524"/>
    <w:rsid w:val="00333EE5"/>
    <w:rsid w:val="0033520C"/>
    <w:rsid w:val="00335619"/>
    <w:rsid w:val="00335EC5"/>
    <w:rsid w:val="00337720"/>
    <w:rsid w:val="00337BE9"/>
    <w:rsid w:val="00340220"/>
    <w:rsid w:val="00342F75"/>
    <w:rsid w:val="00343C58"/>
    <w:rsid w:val="00343E5C"/>
    <w:rsid w:val="00344075"/>
    <w:rsid w:val="003448BF"/>
    <w:rsid w:val="003457FC"/>
    <w:rsid w:val="00345817"/>
    <w:rsid w:val="00345DA0"/>
    <w:rsid w:val="00350C9B"/>
    <w:rsid w:val="0035112A"/>
    <w:rsid w:val="00351DC1"/>
    <w:rsid w:val="00352D1F"/>
    <w:rsid w:val="00352E21"/>
    <w:rsid w:val="00354C33"/>
    <w:rsid w:val="00354DDC"/>
    <w:rsid w:val="003552C8"/>
    <w:rsid w:val="00355CA4"/>
    <w:rsid w:val="00356809"/>
    <w:rsid w:val="003574AC"/>
    <w:rsid w:val="00357DAF"/>
    <w:rsid w:val="00361048"/>
    <w:rsid w:val="00361ADE"/>
    <w:rsid w:val="00362794"/>
    <w:rsid w:val="00363D91"/>
    <w:rsid w:val="00365B71"/>
    <w:rsid w:val="00371B1B"/>
    <w:rsid w:val="0037282B"/>
    <w:rsid w:val="003737C1"/>
    <w:rsid w:val="003738FA"/>
    <w:rsid w:val="00373B57"/>
    <w:rsid w:val="00375164"/>
    <w:rsid w:val="00375171"/>
    <w:rsid w:val="00376641"/>
    <w:rsid w:val="0037743D"/>
    <w:rsid w:val="00380F7F"/>
    <w:rsid w:val="003815C8"/>
    <w:rsid w:val="00381FD2"/>
    <w:rsid w:val="00382ED5"/>
    <w:rsid w:val="00384AB2"/>
    <w:rsid w:val="00384B36"/>
    <w:rsid w:val="00384EF7"/>
    <w:rsid w:val="003851ED"/>
    <w:rsid w:val="00387417"/>
    <w:rsid w:val="003876EC"/>
    <w:rsid w:val="00390ACD"/>
    <w:rsid w:val="00392812"/>
    <w:rsid w:val="00394072"/>
    <w:rsid w:val="00394913"/>
    <w:rsid w:val="003971F9"/>
    <w:rsid w:val="003A0EA1"/>
    <w:rsid w:val="003A28D1"/>
    <w:rsid w:val="003A2B62"/>
    <w:rsid w:val="003A5FD5"/>
    <w:rsid w:val="003A7150"/>
    <w:rsid w:val="003B187F"/>
    <w:rsid w:val="003B1B3D"/>
    <w:rsid w:val="003B1D22"/>
    <w:rsid w:val="003B1F93"/>
    <w:rsid w:val="003B24FA"/>
    <w:rsid w:val="003B2B12"/>
    <w:rsid w:val="003B2D31"/>
    <w:rsid w:val="003B3A73"/>
    <w:rsid w:val="003B3E6E"/>
    <w:rsid w:val="003B4227"/>
    <w:rsid w:val="003B6137"/>
    <w:rsid w:val="003B6379"/>
    <w:rsid w:val="003B7A10"/>
    <w:rsid w:val="003C1759"/>
    <w:rsid w:val="003C198C"/>
    <w:rsid w:val="003C1AD2"/>
    <w:rsid w:val="003C234B"/>
    <w:rsid w:val="003C5260"/>
    <w:rsid w:val="003C62A3"/>
    <w:rsid w:val="003C6817"/>
    <w:rsid w:val="003C7188"/>
    <w:rsid w:val="003C7700"/>
    <w:rsid w:val="003C7C12"/>
    <w:rsid w:val="003D3417"/>
    <w:rsid w:val="003D3BDD"/>
    <w:rsid w:val="003E0076"/>
    <w:rsid w:val="003E222A"/>
    <w:rsid w:val="003E3235"/>
    <w:rsid w:val="003E3E1F"/>
    <w:rsid w:val="003E5908"/>
    <w:rsid w:val="003E653A"/>
    <w:rsid w:val="003E6746"/>
    <w:rsid w:val="003F0A0B"/>
    <w:rsid w:val="003F0C03"/>
    <w:rsid w:val="003F1E47"/>
    <w:rsid w:val="003F2165"/>
    <w:rsid w:val="003F297B"/>
    <w:rsid w:val="003F40E6"/>
    <w:rsid w:val="003F53CA"/>
    <w:rsid w:val="003F6F96"/>
    <w:rsid w:val="004000B7"/>
    <w:rsid w:val="004006AB"/>
    <w:rsid w:val="00400970"/>
    <w:rsid w:val="00401A75"/>
    <w:rsid w:val="004023F2"/>
    <w:rsid w:val="00402BD0"/>
    <w:rsid w:val="00403D28"/>
    <w:rsid w:val="004041BF"/>
    <w:rsid w:val="00405BC2"/>
    <w:rsid w:val="00405F4C"/>
    <w:rsid w:val="00407FA5"/>
    <w:rsid w:val="004100F1"/>
    <w:rsid w:val="00410332"/>
    <w:rsid w:val="00411A7A"/>
    <w:rsid w:val="00413E6D"/>
    <w:rsid w:val="0041464F"/>
    <w:rsid w:val="004149C6"/>
    <w:rsid w:val="00414A40"/>
    <w:rsid w:val="00415071"/>
    <w:rsid w:val="00417468"/>
    <w:rsid w:val="0042069D"/>
    <w:rsid w:val="0042244F"/>
    <w:rsid w:val="00424299"/>
    <w:rsid w:val="0042540F"/>
    <w:rsid w:val="00426811"/>
    <w:rsid w:val="00426C8C"/>
    <w:rsid w:val="0042748B"/>
    <w:rsid w:val="00427A49"/>
    <w:rsid w:val="004326A2"/>
    <w:rsid w:val="0043494D"/>
    <w:rsid w:val="004349F3"/>
    <w:rsid w:val="0043620A"/>
    <w:rsid w:val="0043726C"/>
    <w:rsid w:val="004377FB"/>
    <w:rsid w:val="00441495"/>
    <w:rsid w:val="00441F6B"/>
    <w:rsid w:val="00442505"/>
    <w:rsid w:val="0044319D"/>
    <w:rsid w:val="00443A27"/>
    <w:rsid w:val="00443D60"/>
    <w:rsid w:val="00444672"/>
    <w:rsid w:val="00445252"/>
    <w:rsid w:val="004453F7"/>
    <w:rsid w:val="00446310"/>
    <w:rsid w:val="00450293"/>
    <w:rsid w:val="00451196"/>
    <w:rsid w:val="00451443"/>
    <w:rsid w:val="00452826"/>
    <w:rsid w:val="00455B60"/>
    <w:rsid w:val="00455F5C"/>
    <w:rsid w:val="00456587"/>
    <w:rsid w:val="00456D26"/>
    <w:rsid w:val="00460B8C"/>
    <w:rsid w:val="00460D17"/>
    <w:rsid w:val="00461723"/>
    <w:rsid w:val="00462BE6"/>
    <w:rsid w:val="004642BE"/>
    <w:rsid w:val="00464D6F"/>
    <w:rsid w:val="004659DF"/>
    <w:rsid w:val="004673B3"/>
    <w:rsid w:val="0046752D"/>
    <w:rsid w:val="00467D8A"/>
    <w:rsid w:val="00470249"/>
    <w:rsid w:val="00471454"/>
    <w:rsid w:val="00471609"/>
    <w:rsid w:val="004720D7"/>
    <w:rsid w:val="00472CA2"/>
    <w:rsid w:val="00472CB8"/>
    <w:rsid w:val="00473126"/>
    <w:rsid w:val="0047385C"/>
    <w:rsid w:val="00474C91"/>
    <w:rsid w:val="00475C99"/>
    <w:rsid w:val="00476B57"/>
    <w:rsid w:val="004808A5"/>
    <w:rsid w:val="0048100F"/>
    <w:rsid w:val="00481ADB"/>
    <w:rsid w:val="004837F0"/>
    <w:rsid w:val="004846E8"/>
    <w:rsid w:val="00486422"/>
    <w:rsid w:val="004900BD"/>
    <w:rsid w:val="00490F76"/>
    <w:rsid w:val="00492D26"/>
    <w:rsid w:val="00493FCE"/>
    <w:rsid w:val="0049598A"/>
    <w:rsid w:val="004A09A7"/>
    <w:rsid w:val="004A0D5C"/>
    <w:rsid w:val="004A2103"/>
    <w:rsid w:val="004A29DD"/>
    <w:rsid w:val="004A3890"/>
    <w:rsid w:val="004A4AEE"/>
    <w:rsid w:val="004A4B48"/>
    <w:rsid w:val="004A4C21"/>
    <w:rsid w:val="004A4C3A"/>
    <w:rsid w:val="004A6FC4"/>
    <w:rsid w:val="004B2A7E"/>
    <w:rsid w:val="004B34A3"/>
    <w:rsid w:val="004B4016"/>
    <w:rsid w:val="004B4E38"/>
    <w:rsid w:val="004B6722"/>
    <w:rsid w:val="004B7154"/>
    <w:rsid w:val="004B7276"/>
    <w:rsid w:val="004B7B0B"/>
    <w:rsid w:val="004C1531"/>
    <w:rsid w:val="004C3961"/>
    <w:rsid w:val="004C3F72"/>
    <w:rsid w:val="004C4935"/>
    <w:rsid w:val="004C5ED4"/>
    <w:rsid w:val="004C6890"/>
    <w:rsid w:val="004C742B"/>
    <w:rsid w:val="004C78BE"/>
    <w:rsid w:val="004D1B30"/>
    <w:rsid w:val="004D285C"/>
    <w:rsid w:val="004D3DF0"/>
    <w:rsid w:val="004D44A4"/>
    <w:rsid w:val="004D4992"/>
    <w:rsid w:val="004D4B92"/>
    <w:rsid w:val="004D50CD"/>
    <w:rsid w:val="004D5CB2"/>
    <w:rsid w:val="004D6F79"/>
    <w:rsid w:val="004D7228"/>
    <w:rsid w:val="004D7275"/>
    <w:rsid w:val="004D72DC"/>
    <w:rsid w:val="004D7BAD"/>
    <w:rsid w:val="004D7FAB"/>
    <w:rsid w:val="004E17ED"/>
    <w:rsid w:val="004E3757"/>
    <w:rsid w:val="004E3F72"/>
    <w:rsid w:val="004E476A"/>
    <w:rsid w:val="004E6783"/>
    <w:rsid w:val="004E7158"/>
    <w:rsid w:val="004E7D4F"/>
    <w:rsid w:val="004F01A3"/>
    <w:rsid w:val="004F176E"/>
    <w:rsid w:val="004F20C6"/>
    <w:rsid w:val="004F2BB7"/>
    <w:rsid w:val="004F558D"/>
    <w:rsid w:val="004F5FC7"/>
    <w:rsid w:val="004F718B"/>
    <w:rsid w:val="004F76B5"/>
    <w:rsid w:val="004F7908"/>
    <w:rsid w:val="004F7C1F"/>
    <w:rsid w:val="0050186D"/>
    <w:rsid w:val="005037A4"/>
    <w:rsid w:val="00503864"/>
    <w:rsid w:val="00503C35"/>
    <w:rsid w:val="00504C0C"/>
    <w:rsid w:val="00506716"/>
    <w:rsid w:val="00506F62"/>
    <w:rsid w:val="00507BE3"/>
    <w:rsid w:val="00510117"/>
    <w:rsid w:val="00510466"/>
    <w:rsid w:val="00510C9B"/>
    <w:rsid w:val="0051124A"/>
    <w:rsid w:val="00511350"/>
    <w:rsid w:val="00511564"/>
    <w:rsid w:val="0051356E"/>
    <w:rsid w:val="0051557C"/>
    <w:rsid w:val="005179C6"/>
    <w:rsid w:val="00517BEC"/>
    <w:rsid w:val="005223D6"/>
    <w:rsid w:val="005227B5"/>
    <w:rsid w:val="00524543"/>
    <w:rsid w:val="0052596B"/>
    <w:rsid w:val="0052668F"/>
    <w:rsid w:val="00526726"/>
    <w:rsid w:val="00526C17"/>
    <w:rsid w:val="005272F4"/>
    <w:rsid w:val="00527825"/>
    <w:rsid w:val="00527ADA"/>
    <w:rsid w:val="00530196"/>
    <w:rsid w:val="00531578"/>
    <w:rsid w:val="00533443"/>
    <w:rsid w:val="0053378F"/>
    <w:rsid w:val="00533B9C"/>
    <w:rsid w:val="00535366"/>
    <w:rsid w:val="005361DC"/>
    <w:rsid w:val="00536817"/>
    <w:rsid w:val="00536E15"/>
    <w:rsid w:val="00537FAD"/>
    <w:rsid w:val="0054021E"/>
    <w:rsid w:val="00541F1D"/>
    <w:rsid w:val="0054233B"/>
    <w:rsid w:val="005462D0"/>
    <w:rsid w:val="005467AE"/>
    <w:rsid w:val="00546AC4"/>
    <w:rsid w:val="00546E02"/>
    <w:rsid w:val="00547F42"/>
    <w:rsid w:val="00552A10"/>
    <w:rsid w:val="00552C68"/>
    <w:rsid w:val="00553B43"/>
    <w:rsid w:val="00553FB8"/>
    <w:rsid w:val="00554189"/>
    <w:rsid w:val="00556B2E"/>
    <w:rsid w:val="0055746B"/>
    <w:rsid w:val="0056188E"/>
    <w:rsid w:val="00562DE3"/>
    <w:rsid w:val="005646DE"/>
    <w:rsid w:val="00564E7E"/>
    <w:rsid w:val="00565714"/>
    <w:rsid w:val="005658E4"/>
    <w:rsid w:val="0056616E"/>
    <w:rsid w:val="00567282"/>
    <w:rsid w:val="00567D14"/>
    <w:rsid w:val="0057058F"/>
    <w:rsid w:val="005709D9"/>
    <w:rsid w:val="00570CF8"/>
    <w:rsid w:val="0057228A"/>
    <w:rsid w:val="00573992"/>
    <w:rsid w:val="005740C8"/>
    <w:rsid w:val="00574D1B"/>
    <w:rsid w:val="005779BE"/>
    <w:rsid w:val="00577F66"/>
    <w:rsid w:val="00581DAC"/>
    <w:rsid w:val="00583A98"/>
    <w:rsid w:val="00583EAB"/>
    <w:rsid w:val="005862BF"/>
    <w:rsid w:val="00586CDC"/>
    <w:rsid w:val="00587E74"/>
    <w:rsid w:val="005900BF"/>
    <w:rsid w:val="00592049"/>
    <w:rsid w:val="00592D51"/>
    <w:rsid w:val="00593888"/>
    <w:rsid w:val="00594D8A"/>
    <w:rsid w:val="00597412"/>
    <w:rsid w:val="005A177A"/>
    <w:rsid w:val="005A2CEE"/>
    <w:rsid w:val="005A3076"/>
    <w:rsid w:val="005A3DEA"/>
    <w:rsid w:val="005A4283"/>
    <w:rsid w:val="005A4785"/>
    <w:rsid w:val="005A5A5B"/>
    <w:rsid w:val="005A5BB4"/>
    <w:rsid w:val="005A69EB"/>
    <w:rsid w:val="005B0317"/>
    <w:rsid w:val="005B2F95"/>
    <w:rsid w:val="005B3266"/>
    <w:rsid w:val="005B3BE8"/>
    <w:rsid w:val="005B7CA1"/>
    <w:rsid w:val="005C0030"/>
    <w:rsid w:val="005C0208"/>
    <w:rsid w:val="005C1464"/>
    <w:rsid w:val="005C3584"/>
    <w:rsid w:val="005C3BBB"/>
    <w:rsid w:val="005C4161"/>
    <w:rsid w:val="005C41E2"/>
    <w:rsid w:val="005C519B"/>
    <w:rsid w:val="005C60B0"/>
    <w:rsid w:val="005C62C3"/>
    <w:rsid w:val="005C663F"/>
    <w:rsid w:val="005C6D82"/>
    <w:rsid w:val="005D1B88"/>
    <w:rsid w:val="005D1DD1"/>
    <w:rsid w:val="005D275F"/>
    <w:rsid w:val="005D33F7"/>
    <w:rsid w:val="005D4389"/>
    <w:rsid w:val="005D4590"/>
    <w:rsid w:val="005D47DB"/>
    <w:rsid w:val="005D493D"/>
    <w:rsid w:val="005D6E8F"/>
    <w:rsid w:val="005D72D2"/>
    <w:rsid w:val="005E13D5"/>
    <w:rsid w:val="005E223D"/>
    <w:rsid w:val="005E33BB"/>
    <w:rsid w:val="005E423D"/>
    <w:rsid w:val="005E4EC7"/>
    <w:rsid w:val="005E630D"/>
    <w:rsid w:val="005E6397"/>
    <w:rsid w:val="005E688E"/>
    <w:rsid w:val="005E773E"/>
    <w:rsid w:val="005F0B85"/>
    <w:rsid w:val="005F1182"/>
    <w:rsid w:val="005F11E4"/>
    <w:rsid w:val="005F20D2"/>
    <w:rsid w:val="005F5D86"/>
    <w:rsid w:val="005F5DDA"/>
    <w:rsid w:val="005F6D1F"/>
    <w:rsid w:val="005F7207"/>
    <w:rsid w:val="005F7295"/>
    <w:rsid w:val="00602811"/>
    <w:rsid w:val="00602D85"/>
    <w:rsid w:val="00603045"/>
    <w:rsid w:val="0060568C"/>
    <w:rsid w:val="006060FF"/>
    <w:rsid w:val="0060648E"/>
    <w:rsid w:val="00607640"/>
    <w:rsid w:val="0061007F"/>
    <w:rsid w:val="006102BB"/>
    <w:rsid w:val="00611A9C"/>
    <w:rsid w:val="00612488"/>
    <w:rsid w:val="00613FC0"/>
    <w:rsid w:val="0061615E"/>
    <w:rsid w:val="0061666E"/>
    <w:rsid w:val="00616B5B"/>
    <w:rsid w:val="00620BD3"/>
    <w:rsid w:val="00620CEA"/>
    <w:rsid w:val="0062202A"/>
    <w:rsid w:val="006222D6"/>
    <w:rsid w:val="00622645"/>
    <w:rsid w:val="006231A6"/>
    <w:rsid w:val="006246F3"/>
    <w:rsid w:val="00624C67"/>
    <w:rsid w:val="00624FB6"/>
    <w:rsid w:val="0062533E"/>
    <w:rsid w:val="006254CE"/>
    <w:rsid w:val="00626EAF"/>
    <w:rsid w:val="00627ABD"/>
    <w:rsid w:val="00632124"/>
    <w:rsid w:val="00633008"/>
    <w:rsid w:val="006345D8"/>
    <w:rsid w:val="00634DDB"/>
    <w:rsid w:val="00634E91"/>
    <w:rsid w:val="00634F08"/>
    <w:rsid w:val="0063701A"/>
    <w:rsid w:val="0064074B"/>
    <w:rsid w:val="00640B11"/>
    <w:rsid w:val="00640C5D"/>
    <w:rsid w:val="006412DD"/>
    <w:rsid w:val="0064198D"/>
    <w:rsid w:val="00642185"/>
    <w:rsid w:val="006422F8"/>
    <w:rsid w:val="00644AC6"/>
    <w:rsid w:val="006452B9"/>
    <w:rsid w:val="00645C87"/>
    <w:rsid w:val="0064665F"/>
    <w:rsid w:val="006478B8"/>
    <w:rsid w:val="00647EC7"/>
    <w:rsid w:val="006502B5"/>
    <w:rsid w:val="00650DE0"/>
    <w:rsid w:val="00651486"/>
    <w:rsid w:val="00652046"/>
    <w:rsid w:val="006526C7"/>
    <w:rsid w:val="00653A27"/>
    <w:rsid w:val="00654738"/>
    <w:rsid w:val="0065582F"/>
    <w:rsid w:val="00657A89"/>
    <w:rsid w:val="00657C84"/>
    <w:rsid w:val="00661C33"/>
    <w:rsid w:val="00662293"/>
    <w:rsid w:val="00663438"/>
    <w:rsid w:val="00663E84"/>
    <w:rsid w:val="0066405C"/>
    <w:rsid w:val="0066492F"/>
    <w:rsid w:val="00665200"/>
    <w:rsid w:val="0066542A"/>
    <w:rsid w:val="006656AB"/>
    <w:rsid w:val="0066618D"/>
    <w:rsid w:val="00670697"/>
    <w:rsid w:val="00671ABF"/>
    <w:rsid w:val="00673450"/>
    <w:rsid w:val="00674246"/>
    <w:rsid w:val="00677238"/>
    <w:rsid w:val="00682ED3"/>
    <w:rsid w:val="0068372A"/>
    <w:rsid w:val="00686D7C"/>
    <w:rsid w:val="006903B1"/>
    <w:rsid w:val="00692AB0"/>
    <w:rsid w:val="00693C60"/>
    <w:rsid w:val="00694AA1"/>
    <w:rsid w:val="0069676E"/>
    <w:rsid w:val="00696DAE"/>
    <w:rsid w:val="006A3BC8"/>
    <w:rsid w:val="006A4895"/>
    <w:rsid w:val="006A5BA0"/>
    <w:rsid w:val="006A6451"/>
    <w:rsid w:val="006A7A52"/>
    <w:rsid w:val="006B1179"/>
    <w:rsid w:val="006B1CDA"/>
    <w:rsid w:val="006B357F"/>
    <w:rsid w:val="006B37AC"/>
    <w:rsid w:val="006B3B39"/>
    <w:rsid w:val="006B3C87"/>
    <w:rsid w:val="006B3E5D"/>
    <w:rsid w:val="006B3EDE"/>
    <w:rsid w:val="006B4CE7"/>
    <w:rsid w:val="006B5ACD"/>
    <w:rsid w:val="006B60EB"/>
    <w:rsid w:val="006B74C5"/>
    <w:rsid w:val="006B793F"/>
    <w:rsid w:val="006C037D"/>
    <w:rsid w:val="006C07F0"/>
    <w:rsid w:val="006C08F6"/>
    <w:rsid w:val="006C0A9F"/>
    <w:rsid w:val="006C1D2E"/>
    <w:rsid w:val="006C1DAA"/>
    <w:rsid w:val="006C1E29"/>
    <w:rsid w:val="006C2961"/>
    <w:rsid w:val="006C31D7"/>
    <w:rsid w:val="006C37DF"/>
    <w:rsid w:val="006C4655"/>
    <w:rsid w:val="006C4EE7"/>
    <w:rsid w:val="006C71A1"/>
    <w:rsid w:val="006C78E4"/>
    <w:rsid w:val="006D0F71"/>
    <w:rsid w:val="006D49B3"/>
    <w:rsid w:val="006D4BC3"/>
    <w:rsid w:val="006D4C50"/>
    <w:rsid w:val="006D4EA6"/>
    <w:rsid w:val="006D6EB6"/>
    <w:rsid w:val="006D741F"/>
    <w:rsid w:val="006D7799"/>
    <w:rsid w:val="006D7ED6"/>
    <w:rsid w:val="006E1F8D"/>
    <w:rsid w:val="006E3720"/>
    <w:rsid w:val="006E52F5"/>
    <w:rsid w:val="006E5DFC"/>
    <w:rsid w:val="006E7CF8"/>
    <w:rsid w:val="006F054A"/>
    <w:rsid w:val="006F0F8D"/>
    <w:rsid w:val="006F392C"/>
    <w:rsid w:val="006F520A"/>
    <w:rsid w:val="006F74B6"/>
    <w:rsid w:val="00702444"/>
    <w:rsid w:val="00702B50"/>
    <w:rsid w:val="00704041"/>
    <w:rsid w:val="00707478"/>
    <w:rsid w:val="00707F2E"/>
    <w:rsid w:val="00711ACD"/>
    <w:rsid w:val="00712C2F"/>
    <w:rsid w:val="00713228"/>
    <w:rsid w:val="00715747"/>
    <w:rsid w:val="00717041"/>
    <w:rsid w:val="00720030"/>
    <w:rsid w:val="00723EEB"/>
    <w:rsid w:val="00724052"/>
    <w:rsid w:val="00724B75"/>
    <w:rsid w:val="007253F5"/>
    <w:rsid w:val="0072571C"/>
    <w:rsid w:val="00725D03"/>
    <w:rsid w:val="00726B3F"/>
    <w:rsid w:val="00726CDE"/>
    <w:rsid w:val="00730D95"/>
    <w:rsid w:val="00731B5F"/>
    <w:rsid w:val="00731C56"/>
    <w:rsid w:val="00732DC1"/>
    <w:rsid w:val="00733DB4"/>
    <w:rsid w:val="00734260"/>
    <w:rsid w:val="00737BB4"/>
    <w:rsid w:val="00741F63"/>
    <w:rsid w:val="00744E05"/>
    <w:rsid w:val="0074649B"/>
    <w:rsid w:val="00746823"/>
    <w:rsid w:val="00746DBD"/>
    <w:rsid w:val="00747032"/>
    <w:rsid w:val="0075202D"/>
    <w:rsid w:val="00754137"/>
    <w:rsid w:val="00754AD3"/>
    <w:rsid w:val="00755CC7"/>
    <w:rsid w:val="00757027"/>
    <w:rsid w:val="007572D3"/>
    <w:rsid w:val="0076060E"/>
    <w:rsid w:val="0076146F"/>
    <w:rsid w:val="00762F8D"/>
    <w:rsid w:val="007653D0"/>
    <w:rsid w:val="007658D8"/>
    <w:rsid w:val="007659C0"/>
    <w:rsid w:val="00765E54"/>
    <w:rsid w:val="00766A1C"/>
    <w:rsid w:val="00767205"/>
    <w:rsid w:val="00767613"/>
    <w:rsid w:val="0076781B"/>
    <w:rsid w:val="00770C42"/>
    <w:rsid w:val="00771295"/>
    <w:rsid w:val="00773132"/>
    <w:rsid w:val="007743C6"/>
    <w:rsid w:val="00774F9A"/>
    <w:rsid w:val="007757AA"/>
    <w:rsid w:val="0077643C"/>
    <w:rsid w:val="00776CA5"/>
    <w:rsid w:val="007773E2"/>
    <w:rsid w:val="00780478"/>
    <w:rsid w:val="00780B5E"/>
    <w:rsid w:val="0078248B"/>
    <w:rsid w:val="0078253D"/>
    <w:rsid w:val="00783F18"/>
    <w:rsid w:val="0078416E"/>
    <w:rsid w:val="0078483D"/>
    <w:rsid w:val="0078758E"/>
    <w:rsid w:val="00792548"/>
    <w:rsid w:val="00793F5E"/>
    <w:rsid w:val="007955AE"/>
    <w:rsid w:val="00795EBF"/>
    <w:rsid w:val="007965D9"/>
    <w:rsid w:val="007A3F0A"/>
    <w:rsid w:val="007A4441"/>
    <w:rsid w:val="007A45C9"/>
    <w:rsid w:val="007A477F"/>
    <w:rsid w:val="007A4C9F"/>
    <w:rsid w:val="007A5D95"/>
    <w:rsid w:val="007A676E"/>
    <w:rsid w:val="007A7C27"/>
    <w:rsid w:val="007A7FF5"/>
    <w:rsid w:val="007B1619"/>
    <w:rsid w:val="007B2554"/>
    <w:rsid w:val="007B3BAA"/>
    <w:rsid w:val="007B5D02"/>
    <w:rsid w:val="007B62CB"/>
    <w:rsid w:val="007B6B08"/>
    <w:rsid w:val="007C048A"/>
    <w:rsid w:val="007C095C"/>
    <w:rsid w:val="007C1289"/>
    <w:rsid w:val="007C402E"/>
    <w:rsid w:val="007C5F3F"/>
    <w:rsid w:val="007D06EA"/>
    <w:rsid w:val="007D07FB"/>
    <w:rsid w:val="007D0E34"/>
    <w:rsid w:val="007D2026"/>
    <w:rsid w:val="007D2C30"/>
    <w:rsid w:val="007E1727"/>
    <w:rsid w:val="007E2D76"/>
    <w:rsid w:val="007E4194"/>
    <w:rsid w:val="007E436D"/>
    <w:rsid w:val="007E4A17"/>
    <w:rsid w:val="007E55A2"/>
    <w:rsid w:val="007E6B8D"/>
    <w:rsid w:val="007F08F7"/>
    <w:rsid w:val="007F1FBA"/>
    <w:rsid w:val="007F3AF2"/>
    <w:rsid w:val="007F4328"/>
    <w:rsid w:val="007F4407"/>
    <w:rsid w:val="007F50E3"/>
    <w:rsid w:val="007F547C"/>
    <w:rsid w:val="007F57F4"/>
    <w:rsid w:val="007F754F"/>
    <w:rsid w:val="00800DAF"/>
    <w:rsid w:val="008018CF"/>
    <w:rsid w:val="008020B2"/>
    <w:rsid w:val="0080219F"/>
    <w:rsid w:val="00802DF7"/>
    <w:rsid w:val="0080319C"/>
    <w:rsid w:val="00804FDA"/>
    <w:rsid w:val="00805002"/>
    <w:rsid w:val="00805041"/>
    <w:rsid w:val="00806474"/>
    <w:rsid w:val="00806E70"/>
    <w:rsid w:val="008102D6"/>
    <w:rsid w:val="008117F8"/>
    <w:rsid w:val="0081189B"/>
    <w:rsid w:val="00811BAF"/>
    <w:rsid w:val="00813511"/>
    <w:rsid w:val="00814D58"/>
    <w:rsid w:val="008161BF"/>
    <w:rsid w:val="00816E04"/>
    <w:rsid w:val="00817969"/>
    <w:rsid w:val="00821673"/>
    <w:rsid w:val="00821C4B"/>
    <w:rsid w:val="00822AF2"/>
    <w:rsid w:val="008235CC"/>
    <w:rsid w:val="008244F8"/>
    <w:rsid w:val="008263F1"/>
    <w:rsid w:val="0082756B"/>
    <w:rsid w:val="008279D9"/>
    <w:rsid w:val="00830495"/>
    <w:rsid w:val="008304A3"/>
    <w:rsid w:val="00830DEA"/>
    <w:rsid w:val="00831C2A"/>
    <w:rsid w:val="00831F15"/>
    <w:rsid w:val="008334F6"/>
    <w:rsid w:val="008344A0"/>
    <w:rsid w:val="00840BC8"/>
    <w:rsid w:val="00840BF7"/>
    <w:rsid w:val="00840C95"/>
    <w:rsid w:val="00841267"/>
    <w:rsid w:val="00842285"/>
    <w:rsid w:val="00842886"/>
    <w:rsid w:val="00844173"/>
    <w:rsid w:val="0084580C"/>
    <w:rsid w:val="00845E6B"/>
    <w:rsid w:val="00846869"/>
    <w:rsid w:val="00846BF7"/>
    <w:rsid w:val="00846F7E"/>
    <w:rsid w:val="00851757"/>
    <w:rsid w:val="00853B7E"/>
    <w:rsid w:val="00853DE2"/>
    <w:rsid w:val="00854CE5"/>
    <w:rsid w:val="0085521A"/>
    <w:rsid w:val="008555D5"/>
    <w:rsid w:val="0085682D"/>
    <w:rsid w:val="008577D5"/>
    <w:rsid w:val="00857FC5"/>
    <w:rsid w:val="008607D6"/>
    <w:rsid w:val="00862551"/>
    <w:rsid w:val="00862C45"/>
    <w:rsid w:val="00864082"/>
    <w:rsid w:val="00864120"/>
    <w:rsid w:val="0086687B"/>
    <w:rsid w:val="0087013C"/>
    <w:rsid w:val="008730CE"/>
    <w:rsid w:val="008732AC"/>
    <w:rsid w:val="00873649"/>
    <w:rsid w:val="00873895"/>
    <w:rsid w:val="00873CDD"/>
    <w:rsid w:val="0087447A"/>
    <w:rsid w:val="00875D14"/>
    <w:rsid w:val="00875D9E"/>
    <w:rsid w:val="00876EFB"/>
    <w:rsid w:val="008776D1"/>
    <w:rsid w:val="008779D4"/>
    <w:rsid w:val="008779E7"/>
    <w:rsid w:val="008805E9"/>
    <w:rsid w:val="00880C62"/>
    <w:rsid w:val="008815EF"/>
    <w:rsid w:val="00883946"/>
    <w:rsid w:val="00884199"/>
    <w:rsid w:val="008844BB"/>
    <w:rsid w:val="0088593B"/>
    <w:rsid w:val="0088774A"/>
    <w:rsid w:val="008906C1"/>
    <w:rsid w:val="00890DEB"/>
    <w:rsid w:val="008916AE"/>
    <w:rsid w:val="00891C5E"/>
    <w:rsid w:val="00892550"/>
    <w:rsid w:val="00893530"/>
    <w:rsid w:val="008938AD"/>
    <w:rsid w:val="00893A74"/>
    <w:rsid w:val="00893AAD"/>
    <w:rsid w:val="0089557F"/>
    <w:rsid w:val="0089603A"/>
    <w:rsid w:val="0089673F"/>
    <w:rsid w:val="008A06D1"/>
    <w:rsid w:val="008A072B"/>
    <w:rsid w:val="008A160D"/>
    <w:rsid w:val="008A2FEA"/>
    <w:rsid w:val="008A4561"/>
    <w:rsid w:val="008B088A"/>
    <w:rsid w:val="008B11C7"/>
    <w:rsid w:val="008B1612"/>
    <w:rsid w:val="008B1CDB"/>
    <w:rsid w:val="008B1D7C"/>
    <w:rsid w:val="008B2092"/>
    <w:rsid w:val="008B3856"/>
    <w:rsid w:val="008B41F7"/>
    <w:rsid w:val="008B6F81"/>
    <w:rsid w:val="008B6FDF"/>
    <w:rsid w:val="008B700A"/>
    <w:rsid w:val="008B7D28"/>
    <w:rsid w:val="008B7F12"/>
    <w:rsid w:val="008C0BAF"/>
    <w:rsid w:val="008C123D"/>
    <w:rsid w:val="008C2047"/>
    <w:rsid w:val="008C2CA0"/>
    <w:rsid w:val="008C46DC"/>
    <w:rsid w:val="008C77BD"/>
    <w:rsid w:val="008D1096"/>
    <w:rsid w:val="008D1FE7"/>
    <w:rsid w:val="008D36F7"/>
    <w:rsid w:val="008D40FD"/>
    <w:rsid w:val="008D48EF"/>
    <w:rsid w:val="008E15F6"/>
    <w:rsid w:val="008E2954"/>
    <w:rsid w:val="008E3239"/>
    <w:rsid w:val="008E3289"/>
    <w:rsid w:val="008E3973"/>
    <w:rsid w:val="008E402A"/>
    <w:rsid w:val="008E618C"/>
    <w:rsid w:val="008F18B9"/>
    <w:rsid w:val="008F26E6"/>
    <w:rsid w:val="008F29D8"/>
    <w:rsid w:val="008F2BBC"/>
    <w:rsid w:val="008F480A"/>
    <w:rsid w:val="008F63EC"/>
    <w:rsid w:val="008F6DEB"/>
    <w:rsid w:val="008F739F"/>
    <w:rsid w:val="008F7DC3"/>
    <w:rsid w:val="009002E1"/>
    <w:rsid w:val="00901708"/>
    <w:rsid w:val="00901782"/>
    <w:rsid w:val="00903213"/>
    <w:rsid w:val="009036B1"/>
    <w:rsid w:val="00903E6F"/>
    <w:rsid w:val="009042BB"/>
    <w:rsid w:val="00904EB6"/>
    <w:rsid w:val="0090551D"/>
    <w:rsid w:val="009055B2"/>
    <w:rsid w:val="009060CF"/>
    <w:rsid w:val="00906927"/>
    <w:rsid w:val="00906B83"/>
    <w:rsid w:val="00907215"/>
    <w:rsid w:val="009107D0"/>
    <w:rsid w:val="009112EB"/>
    <w:rsid w:val="009130C6"/>
    <w:rsid w:val="00913148"/>
    <w:rsid w:val="00913BA9"/>
    <w:rsid w:val="00914447"/>
    <w:rsid w:val="009154CE"/>
    <w:rsid w:val="009154E1"/>
    <w:rsid w:val="00920B84"/>
    <w:rsid w:val="009213D2"/>
    <w:rsid w:val="0092238B"/>
    <w:rsid w:val="009226BD"/>
    <w:rsid w:val="0092343A"/>
    <w:rsid w:val="00926D90"/>
    <w:rsid w:val="0092798B"/>
    <w:rsid w:val="00930E0B"/>
    <w:rsid w:val="009311D7"/>
    <w:rsid w:val="009334CF"/>
    <w:rsid w:val="00933E04"/>
    <w:rsid w:val="009341F1"/>
    <w:rsid w:val="00934B1E"/>
    <w:rsid w:val="00934C68"/>
    <w:rsid w:val="009358FB"/>
    <w:rsid w:val="00936735"/>
    <w:rsid w:val="0094053A"/>
    <w:rsid w:val="00940A11"/>
    <w:rsid w:val="00942B3A"/>
    <w:rsid w:val="00946540"/>
    <w:rsid w:val="00947C83"/>
    <w:rsid w:val="009502AD"/>
    <w:rsid w:val="0095039C"/>
    <w:rsid w:val="0095156C"/>
    <w:rsid w:val="009526D8"/>
    <w:rsid w:val="00952D10"/>
    <w:rsid w:val="00953B2D"/>
    <w:rsid w:val="0095463E"/>
    <w:rsid w:val="00954FA3"/>
    <w:rsid w:val="00956902"/>
    <w:rsid w:val="0096043D"/>
    <w:rsid w:val="009604B2"/>
    <w:rsid w:val="00962069"/>
    <w:rsid w:val="00963FB8"/>
    <w:rsid w:val="009659CB"/>
    <w:rsid w:val="00965A47"/>
    <w:rsid w:val="00966B1D"/>
    <w:rsid w:val="009702BD"/>
    <w:rsid w:val="0097047A"/>
    <w:rsid w:val="00970C5A"/>
    <w:rsid w:val="00970CE2"/>
    <w:rsid w:val="0097281C"/>
    <w:rsid w:val="009735BF"/>
    <w:rsid w:val="00973F23"/>
    <w:rsid w:val="0097401E"/>
    <w:rsid w:val="00976D42"/>
    <w:rsid w:val="00980637"/>
    <w:rsid w:val="0098067F"/>
    <w:rsid w:val="00981951"/>
    <w:rsid w:val="00981C65"/>
    <w:rsid w:val="009832DC"/>
    <w:rsid w:val="00984228"/>
    <w:rsid w:val="00984EBD"/>
    <w:rsid w:val="009851CA"/>
    <w:rsid w:val="00985C57"/>
    <w:rsid w:val="009864C6"/>
    <w:rsid w:val="00986AD9"/>
    <w:rsid w:val="00990634"/>
    <w:rsid w:val="00992AC4"/>
    <w:rsid w:val="00993578"/>
    <w:rsid w:val="00994DE3"/>
    <w:rsid w:val="00994E53"/>
    <w:rsid w:val="00996989"/>
    <w:rsid w:val="00997783"/>
    <w:rsid w:val="0099787F"/>
    <w:rsid w:val="009A03F3"/>
    <w:rsid w:val="009A1157"/>
    <w:rsid w:val="009A1E27"/>
    <w:rsid w:val="009A3C06"/>
    <w:rsid w:val="009A3D47"/>
    <w:rsid w:val="009B07B4"/>
    <w:rsid w:val="009B081F"/>
    <w:rsid w:val="009B19B1"/>
    <w:rsid w:val="009B2072"/>
    <w:rsid w:val="009B30EC"/>
    <w:rsid w:val="009B358D"/>
    <w:rsid w:val="009B3D40"/>
    <w:rsid w:val="009B3DCA"/>
    <w:rsid w:val="009B49C9"/>
    <w:rsid w:val="009B4DDB"/>
    <w:rsid w:val="009B639D"/>
    <w:rsid w:val="009B7C54"/>
    <w:rsid w:val="009C1CE9"/>
    <w:rsid w:val="009C24A3"/>
    <w:rsid w:val="009C2FFA"/>
    <w:rsid w:val="009C58A5"/>
    <w:rsid w:val="009D0FF8"/>
    <w:rsid w:val="009D1A4C"/>
    <w:rsid w:val="009D3089"/>
    <w:rsid w:val="009D440D"/>
    <w:rsid w:val="009D491C"/>
    <w:rsid w:val="009D5CEC"/>
    <w:rsid w:val="009D6E96"/>
    <w:rsid w:val="009E09B0"/>
    <w:rsid w:val="009E18D3"/>
    <w:rsid w:val="009E2812"/>
    <w:rsid w:val="009E4714"/>
    <w:rsid w:val="009E4AB1"/>
    <w:rsid w:val="009E4DC5"/>
    <w:rsid w:val="009E7877"/>
    <w:rsid w:val="009F1196"/>
    <w:rsid w:val="009F1C36"/>
    <w:rsid w:val="009F3888"/>
    <w:rsid w:val="009F3B35"/>
    <w:rsid w:val="009F42A6"/>
    <w:rsid w:val="009F60FA"/>
    <w:rsid w:val="009F67BB"/>
    <w:rsid w:val="009F6D51"/>
    <w:rsid w:val="009F7B59"/>
    <w:rsid w:val="009F7F91"/>
    <w:rsid w:val="00A01157"/>
    <w:rsid w:val="00A01869"/>
    <w:rsid w:val="00A02501"/>
    <w:rsid w:val="00A029DE"/>
    <w:rsid w:val="00A048D2"/>
    <w:rsid w:val="00A04DEA"/>
    <w:rsid w:val="00A07E14"/>
    <w:rsid w:val="00A10A22"/>
    <w:rsid w:val="00A10CF5"/>
    <w:rsid w:val="00A115D4"/>
    <w:rsid w:val="00A117D2"/>
    <w:rsid w:val="00A12650"/>
    <w:rsid w:val="00A12FF6"/>
    <w:rsid w:val="00A1534D"/>
    <w:rsid w:val="00A16261"/>
    <w:rsid w:val="00A167A6"/>
    <w:rsid w:val="00A1712B"/>
    <w:rsid w:val="00A175D9"/>
    <w:rsid w:val="00A206D3"/>
    <w:rsid w:val="00A21D10"/>
    <w:rsid w:val="00A21D86"/>
    <w:rsid w:val="00A21FCB"/>
    <w:rsid w:val="00A22693"/>
    <w:rsid w:val="00A22B3B"/>
    <w:rsid w:val="00A236F4"/>
    <w:rsid w:val="00A24042"/>
    <w:rsid w:val="00A24D03"/>
    <w:rsid w:val="00A30362"/>
    <w:rsid w:val="00A30E21"/>
    <w:rsid w:val="00A33783"/>
    <w:rsid w:val="00A337D6"/>
    <w:rsid w:val="00A347D8"/>
    <w:rsid w:val="00A3591E"/>
    <w:rsid w:val="00A35E09"/>
    <w:rsid w:val="00A36621"/>
    <w:rsid w:val="00A36923"/>
    <w:rsid w:val="00A372A5"/>
    <w:rsid w:val="00A375AE"/>
    <w:rsid w:val="00A37F33"/>
    <w:rsid w:val="00A40F5D"/>
    <w:rsid w:val="00A40F87"/>
    <w:rsid w:val="00A41FEC"/>
    <w:rsid w:val="00A433A8"/>
    <w:rsid w:val="00A43961"/>
    <w:rsid w:val="00A460F3"/>
    <w:rsid w:val="00A463F7"/>
    <w:rsid w:val="00A47694"/>
    <w:rsid w:val="00A47E7E"/>
    <w:rsid w:val="00A511A9"/>
    <w:rsid w:val="00A5154C"/>
    <w:rsid w:val="00A53280"/>
    <w:rsid w:val="00A54662"/>
    <w:rsid w:val="00A54693"/>
    <w:rsid w:val="00A551FA"/>
    <w:rsid w:val="00A55825"/>
    <w:rsid w:val="00A56A74"/>
    <w:rsid w:val="00A57AC9"/>
    <w:rsid w:val="00A57BE8"/>
    <w:rsid w:val="00A61521"/>
    <w:rsid w:val="00A62B5D"/>
    <w:rsid w:val="00A636D5"/>
    <w:rsid w:val="00A64125"/>
    <w:rsid w:val="00A662CC"/>
    <w:rsid w:val="00A679DF"/>
    <w:rsid w:val="00A72424"/>
    <w:rsid w:val="00A725FC"/>
    <w:rsid w:val="00A72B29"/>
    <w:rsid w:val="00A7334B"/>
    <w:rsid w:val="00A74E09"/>
    <w:rsid w:val="00A76383"/>
    <w:rsid w:val="00A76CDC"/>
    <w:rsid w:val="00A772E6"/>
    <w:rsid w:val="00A804B1"/>
    <w:rsid w:val="00A8291E"/>
    <w:rsid w:val="00A8412B"/>
    <w:rsid w:val="00A84996"/>
    <w:rsid w:val="00A84B3C"/>
    <w:rsid w:val="00A862EB"/>
    <w:rsid w:val="00A91AB4"/>
    <w:rsid w:val="00A92765"/>
    <w:rsid w:val="00A929CF"/>
    <w:rsid w:val="00A92FE4"/>
    <w:rsid w:val="00A93B50"/>
    <w:rsid w:val="00A95D41"/>
    <w:rsid w:val="00A9646E"/>
    <w:rsid w:val="00A96D82"/>
    <w:rsid w:val="00A96ECA"/>
    <w:rsid w:val="00A97810"/>
    <w:rsid w:val="00A97EB2"/>
    <w:rsid w:val="00AA07A5"/>
    <w:rsid w:val="00AA0FDB"/>
    <w:rsid w:val="00AA1F7A"/>
    <w:rsid w:val="00AA3923"/>
    <w:rsid w:val="00AA39A4"/>
    <w:rsid w:val="00AA3AE4"/>
    <w:rsid w:val="00AA4641"/>
    <w:rsid w:val="00AA6879"/>
    <w:rsid w:val="00AB1C7C"/>
    <w:rsid w:val="00AB1E44"/>
    <w:rsid w:val="00AB36AC"/>
    <w:rsid w:val="00AB5D79"/>
    <w:rsid w:val="00AB7DD0"/>
    <w:rsid w:val="00AC1498"/>
    <w:rsid w:val="00AC1E6E"/>
    <w:rsid w:val="00AC2394"/>
    <w:rsid w:val="00AC32ED"/>
    <w:rsid w:val="00AC3440"/>
    <w:rsid w:val="00AC346B"/>
    <w:rsid w:val="00AC3A86"/>
    <w:rsid w:val="00AC5B93"/>
    <w:rsid w:val="00AC6CEF"/>
    <w:rsid w:val="00AC6FAE"/>
    <w:rsid w:val="00AC72E7"/>
    <w:rsid w:val="00AC7A67"/>
    <w:rsid w:val="00AC7DFE"/>
    <w:rsid w:val="00AD0915"/>
    <w:rsid w:val="00AD0BC0"/>
    <w:rsid w:val="00AD0E13"/>
    <w:rsid w:val="00AD1B7A"/>
    <w:rsid w:val="00AD1BD0"/>
    <w:rsid w:val="00AD1D7F"/>
    <w:rsid w:val="00AD5370"/>
    <w:rsid w:val="00AD5E69"/>
    <w:rsid w:val="00AD619E"/>
    <w:rsid w:val="00AD6479"/>
    <w:rsid w:val="00AD78BC"/>
    <w:rsid w:val="00AE0C7B"/>
    <w:rsid w:val="00AE18FC"/>
    <w:rsid w:val="00AE2366"/>
    <w:rsid w:val="00AE25D6"/>
    <w:rsid w:val="00AE2AB9"/>
    <w:rsid w:val="00AE3417"/>
    <w:rsid w:val="00AE3736"/>
    <w:rsid w:val="00AE40D1"/>
    <w:rsid w:val="00AE6395"/>
    <w:rsid w:val="00AE72D3"/>
    <w:rsid w:val="00AE7489"/>
    <w:rsid w:val="00AE7560"/>
    <w:rsid w:val="00AF113C"/>
    <w:rsid w:val="00AF1E49"/>
    <w:rsid w:val="00AF33CC"/>
    <w:rsid w:val="00AF3C6B"/>
    <w:rsid w:val="00AF464A"/>
    <w:rsid w:val="00AF4D11"/>
    <w:rsid w:val="00AF60A7"/>
    <w:rsid w:val="00AF6BE9"/>
    <w:rsid w:val="00AF79C9"/>
    <w:rsid w:val="00B00F21"/>
    <w:rsid w:val="00B027E9"/>
    <w:rsid w:val="00B03D8D"/>
    <w:rsid w:val="00B0437E"/>
    <w:rsid w:val="00B046EF"/>
    <w:rsid w:val="00B04BA9"/>
    <w:rsid w:val="00B068ED"/>
    <w:rsid w:val="00B07992"/>
    <w:rsid w:val="00B07C09"/>
    <w:rsid w:val="00B1094A"/>
    <w:rsid w:val="00B10F35"/>
    <w:rsid w:val="00B131E7"/>
    <w:rsid w:val="00B132A1"/>
    <w:rsid w:val="00B13A35"/>
    <w:rsid w:val="00B140DF"/>
    <w:rsid w:val="00B14FC8"/>
    <w:rsid w:val="00B15248"/>
    <w:rsid w:val="00B15EDD"/>
    <w:rsid w:val="00B15FD4"/>
    <w:rsid w:val="00B208CA"/>
    <w:rsid w:val="00B21669"/>
    <w:rsid w:val="00B22E70"/>
    <w:rsid w:val="00B236CD"/>
    <w:rsid w:val="00B2428B"/>
    <w:rsid w:val="00B24850"/>
    <w:rsid w:val="00B249DE"/>
    <w:rsid w:val="00B24E73"/>
    <w:rsid w:val="00B255D5"/>
    <w:rsid w:val="00B25D65"/>
    <w:rsid w:val="00B26721"/>
    <w:rsid w:val="00B272E5"/>
    <w:rsid w:val="00B27BFD"/>
    <w:rsid w:val="00B31157"/>
    <w:rsid w:val="00B32A6B"/>
    <w:rsid w:val="00B32CC5"/>
    <w:rsid w:val="00B333A2"/>
    <w:rsid w:val="00B362FA"/>
    <w:rsid w:val="00B37944"/>
    <w:rsid w:val="00B37DE0"/>
    <w:rsid w:val="00B40C98"/>
    <w:rsid w:val="00B43F87"/>
    <w:rsid w:val="00B4422C"/>
    <w:rsid w:val="00B45B93"/>
    <w:rsid w:val="00B5045F"/>
    <w:rsid w:val="00B5054F"/>
    <w:rsid w:val="00B50B55"/>
    <w:rsid w:val="00B519BB"/>
    <w:rsid w:val="00B53970"/>
    <w:rsid w:val="00B53A9E"/>
    <w:rsid w:val="00B54A24"/>
    <w:rsid w:val="00B57BF4"/>
    <w:rsid w:val="00B612F6"/>
    <w:rsid w:val="00B62826"/>
    <w:rsid w:val="00B64A52"/>
    <w:rsid w:val="00B65272"/>
    <w:rsid w:val="00B67382"/>
    <w:rsid w:val="00B7019C"/>
    <w:rsid w:val="00B70E28"/>
    <w:rsid w:val="00B719C0"/>
    <w:rsid w:val="00B71AFE"/>
    <w:rsid w:val="00B71F27"/>
    <w:rsid w:val="00B71FDC"/>
    <w:rsid w:val="00B72482"/>
    <w:rsid w:val="00B73016"/>
    <w:rsid w:val="00B735BC"/>
    <w:rsid w:val="00B75BE9"/>
    <w:rsid w:val="00B7770E"/>
    <w:rsid w:val="00B77F50"/>
    <w:rsid w:val="00B80050"/>
    <w:rsid w:val="00B80D86"/>
    <w:rsid w:val="00B81050"/>
    <w:rsid w:val="00B810C0"/>
    <w:rsid w:val="00B81437"/>
    <w:rsid w:val="00B82DA0"/>
    <w:rsid w:val="00B8423F"/>
    <w:rsid w:val="00B84811"/>
    <w:rsid w:val="00B85E02"/>
    <w:rsid w:val="00B86D76"/>
    <w:rsid w:val="00B87BA3"/>
    <w:rsid w:val="00B90739"/>
    <w:rsid w:val="00B90A34"/>
    <w:rsid w:val="00B90FBB"/>
    <w:rsid w:val="00B93D3E"/>
    <w:rsid w:val="00B94DF6"/>
    <w:rsid w:val="00B979E2"/>
    <w:rsid w:val="00BA05FE"/>
    <w:rsid w:val="00BA061F"/>
    <w:rsid w:val="00BA0699"/>
    <w:rsid w:val="00BA08D8"/>
    <w:rsid w:val="00BA0E26"/>
    <w:rsid w:val="00BA134C"/>
    <w:rsid w:val="00BA2B9C"/>
    <w:rsid w:val="00BA34E3"/>
    <w:rsid w:val="00BA5305"/>
    <w:rsid w:val="00BA56D5"/>
    <w:rsid w:val="00BA5E11"/>
    <w:rsid w:val="00BB142C"/>
    <w:rsid w:val="00BB26C1"/>
    <w:rsid w:val="00BB3665"/>
    <w:rsid w:val="00BB3F91"/>
    <w:rsid w:val="00BB45EB"/>
    <w:rsid w:val="00BB71BA"/>
    <w:rsid w:val="00BC056E"/>
    <w:rsid w:val="00BC1680"/>
    <w:rsid w:val="00BC1F09"/>
    <w:rsid w:val="00BC4638"/>
    <w:rsid w:val="00BC55CF"/>
    <w:rsid w:val="00BC57E3"/>
    <w:rsid w:val="00BC5B12"/>
    <w:rsid w:val="00BC5E57"/>
    <w:rsid w:val="00BC6992"/>
    <w:rsid w:val="00BD0809"/>
    <w:rsid w:val="00BD2B0C"/>
    <w:rsid w:val="00BD2FEF"/>
    <w:rsid w:val="00BD4C21"/>
    <w:rsid w:val="00BE0EA6"/>
    <w:rsid w:val="00BE0F48"/>
    <w:rsid w:val="00BE1ACA"/>
    <w:rsid w:val="00BE1F82"/>
    <w:rsid w:val="00BE2518"/>
    <w:rsid w:val="00BE2FAC"/>
    <w:rsid w:val="00BE523F"/>
    <w:rsid w:val="00BE62E2"/>
    <w:rsid w:val="00BE63AC"/>
    <w:rsid w:val="00BE7539"/>
    <w:rsid w:val="00BF02AB"/>
    <w:rsid w:val="00BF04B0"/>
    <w:rsid w:val="00BF2226"/>
    <w:rsid w:val="00BF2D5B"/>
    <w:rsid w:val="00BF31FA"/>
    <w:rsid w:val="00BF47F0"/>
    <w:rsid w:val="00BF4E7E"/>
    <w:rsid w:val="00BF67CC"/>
    <w:rsid w:val="00BF760A"/>
    <w:rsid w:val="00BF7DBF"/>
    <w:rsid w:val="00C01200"/>
    <w:rsid w:val="00C0123F"/>
    <w:rsid w:val="00C01795"/>
    <w:rsid w:val="00C01A74"/>
    <w:rsid w:val="00C01B76"/>
    <w:rsid w:val="00C02485"/>
    <w:rsid w:val="00C03337"/>
    <w:rsid w:val="00C03459"/>
    <w:rsid w:val="00C04CD0"/>
    <w:rsid w:val="00C05B60"/>
    <w:rsid w:val="00C06357"/>
    <w:rsid w:val="00C066F7"/>
    <w:rsid w:val="00C067A5"/>
    <w:rsid w:val="00C07DE4"/>
    <w:rsid w:val="00C113C7"/>
    <w:rsid w:val="00C11E1F"/>
    <w:rsid w:val="00C12A68"/>
    <w:rsid w:val="00C1352A"/>
    <w:rsid w:val="00C14B51"/>
    <w:rsid w:val="00C15981"/>
    <w:rsid w:val="00C15A27"/>
    <w:rsid w:val="00C171B2"/>
    <w:rsid w:val="00C2036A"/>
    <w:rsid w:val="00C220C8"/>
    <w:rsid w:val="00C22E58"/>
    <w:rsid w:val="00C23856"/>
    <w:rsid w:val="00C24932"/>
    <w:rsid w:val="00C24AC9"/>
    <w:rsid w:val="00C25C59"/>
    <w:rsid w:val="00C261E4"/>
    <w:rsid w:val="00C269EF"/>
    <w:rsid w:val="00C26CDE"/>
    <w:rsid w:val="00C26E6D"/>
    <w:rsid w:val="00C27660"/>
    <w:rsid w:val="00C27768"/>
    <w:rsid w:val="00C27F14"/>
    <w:rsid w:val="00C30B1E"/>
    <w:rsid w:val="00C30FE1"/>
    <w:rsid w:val="00C311CA"/>
    <w:rsid w:val="00C31A7F"/>
    <w:rsid w:val="00C3261F"/>
    <w:rsid w:val="00C336B5"/>
    <w:rsid w:val="00C33BD6"/>
    <w:rsid w:val="00C35052"/>
    <w:rsid w:val="00C353E8"/>
    <w:rsid w:val="00C358B5"/>
    <w:rsid w:val="00C36C11"/>
    <w:rsid w:val="00C4076D"/>
    <w:rsid w:val="00C40C33"/>
    <w:rsid w:val="00C41D84"/>
    <w:rsid w:val="00C42A5E"/>
    <w:rsid w:val="00C4309C"/>
    <w:rsid w:val="00C442E1"/>
    <w:rsid w:val="00C452A5"/>
    <w:rsid w:val="00C454BF"/>
    <w:rsid w:val="00C4607B"/>
    <w:rsid w:val="00C47367"/>
    <w:rsid w:val="00C47445"/>
    <w:rsid w:val="00C47945"/>
    <w:rsid w:val="00C50773"/>
    <w:rsid w:val="00C54CA8"/>
    <w:rsid w:val="00C57882"/>
    <w:rsid w:val="00C61939"/>
    <w:rsid w:val="00C6221B"/>
    <w:rsid w:val="00C62B01"/>
    <w:rsid w:val="00C6368C"/>
    <w:rsid w:val="00C64B3F"/>
    <w:rsid w:val="00C65FB3"/>
    <w:rsid w:val="00C66023"/>
    <w:rsid w:val="00C66BCE"/>
    <w:rsid w:val="00C66E7B"/>
    <w:rsid w:val="00C70CC7"/>
    <w:rsid w:val="00C717BE"/>
    <w:rsid w:val="00C730AC"/>
    <w:rsid w:val="00C75655"/>
    <w:rsid w:val="00C75D03"/>
    <w:rsid w:val="00C76BB7"/>
    <w:rsid w:val="00C777AB"/>
    <w:rsid w:val="00C80C74"/>
    <w:rsid w:val="00C80E6B"/>
    <w:rsid w:val="00C81640"/>
    <w:rsid w:val="00C81659"/>
    <w:rsid w:val="00C81C9A"/>
    <w:rsid w:val="00C84A1D"/>
    <w:rsid w:val="00C8558B"/>
    <w:rsid w:val="00C85F0E"/>
    <w:rsid w:val="00C86049"/>
    <w:rsid w:val="00C86894"/>
    <w:rsid w:val="00C87210"/>
    <w:rsid w:val="00C87577"/>
    <w:rsid w:val="00C90076"/>
    <w:rsid w:val="00C90D9D"/>
    <w:rsid w:val="00C94AFC"/>
    <w:rsid w:val="00C9516D"/>
    <w:rsid w:val="00CA21C6"/>
    <w:rsid w:val="00CA2FB4"/>
    <w:rsid w:val="00CA4CE3"/>
    <w:rsid w:val="00CA5811"/>
    <w:rsid w:val="00CA5B69"/>
    <w:rsid w:val="00CA6C56"/>
    <w:rsid w:val="00CA7D60"/>
    <w:rsid w:val="00CB031D"/>
    <w:rsid w:val="00CB11ED"/>
    <w:rsid w:val="00CB12EA"/>
    <w:rsid w:val="00CB1515"/>
    <w:rsid w:val="00CB1BC9"/>
    <w:rsid w:val="00CB1EE5"/>
    <w:rsid w:val="00CB262F"/>
    <w:rsid w:val="00CB3486"/>
    <w:rsid w:val="00CB5897"/>
    <w:rsid w:val="00CB6A2B"/>
    <w:rsid w:val="00CB6EB4"/>
    <w:rsid w:val="00CB79F9"/>
    <w:rsid w:val="00CC138D"/>
    <w:rsid w:val="00CC175C"/>
    <w:rsid w:val="00CC1C37"/>
    <w:rsid w:val="00CC208D"/>
    <w:rsid w:val="00CC2A35"/>
    <w:rsid w:val="00CC2A9F"/>
    <w:rsid w:val="00CC2FD6"/>
    <w:rsid w:val="00CC43D6"/>
    <w:rsid w:val="00CC444B"/>
    <w:rsid w:val="00CC4A76"/>
    <w:rsid w:val="00CC5369"/>
    <w:rsid w:val="00CC5FC2"/>
    <w:rsid w:val="00CC6EAD"/>
    <w:rsid w:val="00CC74D5"/>
    <w:rsid w:val="00CC75C8"/>
    <w:rsid w:val="00CD1E77"/>
    <w:rsid w:val="00CD26F1"/>
    <w:rsid w:val="00CD290B"/>
    <w:rsid w:val="00CD2E6C"/>
    <w:rsid w:val="00CD2E94"/>
    <w:rsid w:val="00CD30BC"/>
    <w:rsid w:val="00CD3A29"/>
    <w:rsid w:val="00CD40DB"/>
    <w:rsid w:val="00CD4F94"/>
    <w:rsid w:val="00CD6668"/>
    <w:rsid w:val="00CD6AC8"/>
    <w:rsid w:val="00CD7457"/>
    <w:rsid w:val="00CE5551"/>
    <w:rsid w:val="00CE56DE"/>
    <w:rsid w:val="00CE590E"/>
    <w:rsid w:val="00CE6692"/>
    <w:rsid w:val="00CE6D8A"/>
    <w:rsid w:val="00CE6F85"/>
    <w:rsid w:val="00CE7D90"/>
    <w:rsid w:val="00CF0707"/>
    <w:rsid w:val="00CF1B40"/>
    <w:rsid w:val="00CF1BD9"/>
    <w:rsid w:val="00CF4F1A"/>
    <w:rsid w:val="00CF5DA2"/>
    <w:rsid w:val="00CF71DB"/>
    <w:rsid w:val="00CF72DA"/>
    <w:rsid w:val="00CF7967"/>
    <w:rsid w:val="00D02453"/>
    <w:rsid w:val="00D0377D"/>
    <w:rsid w:val="00D04153"/>
    <w:rsid w:val="00D0557D"/>
    <w:rsid w:val="00D0642D"/>
    <w:rsid w:val="00D1329C"/>
    <w:rsid w:val="00D14AE6"/>
    <w:rsid w:val="00D1543B"/>
    <w:rsid w:val="00D15628"/>
    <w:rsid w:val="00D158CB"/>
    <w:rsid w:val="00D161F7"/>
    <w:rsid w:val="00D20F53"/>
    <w:rsid w:val="00D2105F"/>
    <w:rsid w:val="00D21442"/>
    <w:rsid w:val="00D22303"/>
    <w:rsid w:val="00D229F5"/>
    <w:rsid w:val="00D22E61"/>
    <w:rsid w:val="00D2538A"/>
    <w:rsid w:val="00D26E6C"/>
    <w:rsid w:val="00D322DC"/>
    <w:rsid w:val="00D32D7E"/>
    <w:rsid w:val="00D35CDB"/>
    <w:rsid w:val="00D35FA7"/>
    <w:rsid w:val="00D3605F"/>
    <w:rsid w:val="00D367ED"/>
    <w:rsid w:val="00D41D99"/>
    <w:rsid w:val="00D4221E"/>
    <w:rsid w:val="00D426E0"/>
    <w:rsid w:val="00D42D36"/>
    <w:rsid w:val="00D4309C"/>
    <w:rsid w:val="00D43FC8"/>
    <w:rsid w:val="00D4464D"/>
    <w:rsid w:val="00D47B39"/>
    <w:rsid w:val="00D47CDD"/>
    <w:rsid w:val="00D5049F"/>
    <w:rsid w:val="00D5127F"/>
    <w:rsid w:val="00D5338B"/>
    <w:rsid w:val="00D53AF3"/>
    <w:rsid w:val="00D53B1E"/>
    <w:rsid w:val="00D54B8D"/>
    <w:rsid w:val="00D566FF"/>
    <w:rsid w:val="00D572F7"/>
    <w:rsid w:val="00D60DDA"/>
    <w:rsid w:val="00D617A1"/>
    <w:rsid w:val="00D6226E"/>
    <w:rsid w:val="00D640BC"/>
    <w:rsid w:val="00D642C3"/>
    <w:rsid w:val="00D65430"/>
    <w:rsid w:val="00D7067D"/>
    <w:rsid w:val="00D71C7A"/>
    <w:rsid w:val="00D73D0E"/>
    <w:rsid w:val="00D7434C"/>
    <w:rsid w:val="00D75DDA"/>
    <w:rsid w:val="00D76174"/>
    <w:rsid w:val="00D767F1"/>
    <w:rsid w:val="00D76B22"/>
    <w:rsid w:val="00D76EB9"/>
    <w:rsid w:val="00D830A3"/>
    <w:rsid w:val="00D83B83"/>
    <w:rsid w:val="00D8697A"/>
    <w:rsid w:val="00D86E9B"/>
    <w:rsid w:val="00D91753"/>
    <w:rsid w:val="00D92A49"/>
    <w:rsid w:val="00D93E73"/>
    <w:rsid w:val="00D93FFC"/>
    <w:rsid w:val="00D95858"/>
    <w:rsid w:val="00D96680"/>
    <w:rsid w:val="00D96BC2"/>
    <w:rsid w:val="00D9783B"/>
    <w:rsid w:val="00DA02F7"/>
    <w:rsid w:val="00DA19F8"/>
    <w:rsid w:val="00DA3056"/>
    <w:rsid w:val="00DA3E2F"/>
    <w:rsid w:val="00DA450A"/>
    <w:rsid w:val="00DA4570"/>
    <w:rsid w:val="00DA5BEF"/>
    <w:rsid w:val="00DA617D"/>
    <w:rsid w:val="00DA64EA"/>
    <w:rsid w:val="00DB03F4"/>
    <w:rsid w:val="00DB1743"/>
    <w:rsid w:val="00DB1DA1"/>
    <w:rsid w:val="00DB55A5"/>
    <w:rsid w:val="00DB6A07"/>
    <w:rsid w:val="00DB7F35"/>
    <w:rsid w:val="00DC0BB6"/>
    <w:rsid w:val="00DC1E85"/>
    <w:rsid w:val="00DC40B4"/>
    <w:rsid w:val="00DC547A"/>
    <w:rsid w:val="00DC59A4"/>
    <w:rsid w:val="00DC743D"/>
    <w:rsid w:val="00DD1172"/>
    <w:rsid w:val="00DD1294"/>
    <w:rsid w:val="00DD3128"/>
    <w:rsid w:val="00DD36B9"/>
    <w:rsid w:val="00DD3759"/>
    <w:rsid w:val="00DD37E1"/>
    <w:rsid w:val="00DD3A57"/>
    <w:rsid w:val="00DD49CB"/>
    <w:rsid w:val="00DD5AA7"/>
    <w:rsid w:val="00DD5D50"/>
    <w:rsid w:val="00DD6BD3"/>
    <w:rsid w:val="00DD7C6D"/>
    <w:rsid w:val="00DE038A"/>
    <w:rsid w:val="00DE252A"/>
    <w:rsid w:val="00DE4299"/>
    <w:rsid w:val="00DE4403"/>
    <w:rsid w:val="00DE4BE6"/>
    <w:rsid w:val="00DE4FA4"/>
    <w:rsid w:val="00DE6947"/>
    <w:rsid w:val="00DE770B"/>
    <w:rsid w:val="00DF0281"/>
    <w:rsid w:val="00DF0291"/>
    <w:rsid w:val="00DF0909"/>
    <w:rsid w:val="00DF11AC"/>
    <w:rsid w:val="00DF2DFB"/>
    <w:rsid w:val="00DF2EC7"/>
    <w:rsid w:val="00DF45DB"/>
    <w:rsid w:val="00DF5714"/>
    <w:rsid w:val="00DF5ABC"/>
    <w:rsid w:val="00DF5BDE"/>
    <w:rsid w:val="00E015A9"/>
    <w:rsid w:val="00E0234B"/>
    <w:rsid w:val="00E023FC"/>
    <w:rsid w:val="00E02BC1"/>
    <w:rsid w:val="00E02E9A"/>
    <w:rsid w:val="00E06F7D"/>
    <w:rsid w:val="00E10FFF"/>
    <w:rsid w:val="00E1171F"/>
    <w:rsid w:val="00E12749"/>
    <w:rsid w:val="00E134CE"/>
    <w:rsid w:val="00E13CFD"/>
    <w:rsid w:val="00E14F52"/>
    <w:rsid w:val="00E17431"/>
    <w:rsid w:val="00E20836"/>
    <w:rsid w:val="00E209F0"/>
    <w:rsid w:val="00E20DA0"/>
    <w:rsid w:val="00E222AF"/>
    <w:rsid w:val="00E25395"/>
    <w:rsid w:val="00E25DA4"/>
    <w:rsid w:val="00E32BD6"/>
    <w:rsid w:val="00E33737"/>
    <w:rsid w:val="00E34AC7"/>
    <w:rsid w:val="00E34EFA"/>
    <w:rsid w:val="00E3756A"/>
    <w:rsid w:val="00E37960"/>
    <w:rsid w:val="00E403E5"/>
    <w:rsid w:val="00E424CA"/>
    <w:rsid w:val="00E427C9"/>
    <w:rsid w:val="00E42AEC"/>
    <w:rsid w:val="00E42B40"/>
    <w:rsid w:val="00E456C4"/>
    <w:rsid w:val="00E45955"/>
    <w:rsid w:val="00E45E50"/>
    <w:rsid w:val="00E4642E"/>
    <w:rsid w:val="00E50DBF"/>
    <w:rsid w:val="00E51207"/>
    <w:rsid w:val="00E5145F"/>
    <w:rsid w:val="00E52232"/>
    <w:rsid w:val="00E52588"/>
    <w:rsid w:val="00E5261E"/>
    <w:rsid w:val="00E52A38"/>
    <w:rsid w:val="00E53066"/>
    <w:rsid w:val="00E53BCA"/>
    <w:rsid w:val="00E53DB6"/>
    <w:rsid w:val="00E54029"/>
    <w:rsid w:val="00E546F4"/>
    <w:rsid w:val="00E564E4"/>
    <w:rsid w:val="00E57F84"/>
    <w:rsid w:val="00E60FA8"/>
    <w:rsid w:val="00E61910"/>
    <w:rsid w:val="00E61D8E"/>
    <w:rsid w:val="00E64186"/>
    <w:rsid w:val="00E6576C"/>
    <w:rsid w:val="00E65D61"/>
    <w:rsid w:val="00E66D29"/>
    <w:rsid w:val="00E67426"/>
    <w:rsid w:val="00E6770C"/>
    <w:rsid w:val="00E67D6C"/>
    <w:rsid w:val="00E708C5"/>
    <w:rsid w:val="00E70E1C"/>
    <w:rsid w:val="00E71A5E"/>
    <w:rsid w:val="00E73062"/>
    <w:rsid w:val="00E745B2"/>
    <w:rsid w:val="00E74EE2"/>
    <w:rsid w:val="00E778C4"/>
    <w:rsid w:val="00E81322"/>
    <w:rsid w:val="00E83429"/>
    <w:rsid w:val="00E8468C"/>
    <w:rsid w:val="00E85F40"/>
    <w:rsid w:val="00E90651"/>
    <w:rsid w:val="00E90D6F"/>
    <w:rsid w:val="00E91657"/>
    <w:rsid w:val="00E91AE2"/>
    <w:rsid w:val="00E922D9"/>
    <w:rsid w:val="00E9237E"/>
    <w:rsid w:val="00E9371A"/>
    <w:rsid w:val="00E93BF4"/>
    <w:rsid w:val="00EA136B"/>
    <w:rsid w:val="00EA2D35"/>
    <w:rsid w:val="00EA34BD"/>
    <w:rsid w:val="00EA4238"/>
    <w:rsid w:val="00EA506D"/>
    <w:rsid w:val="00EB08D0"/>
    <w:rsid w:val="00EB0C51"/>
    <w:rsid w:val="00EB5D16"/>
    <w:rsid w:val="00EB6186"/>
    <w:rsid w:val="00EC0FCD"/>
    <w:rsid w:val="00EC30A9"/>
    <w:rsid w:val="00EC3C6B"/>
    <w:rsid w:val="00EC480A"/>
    <w:rsid w:val="00EC7C57"/>
    <w:rsid w:val="00ED0080"/>
    <w:rsid w:val="00ED12C1"/>
    <w:rsid w:val="00ED34A9"/>
    <w:rsid w:val="00ED58EE"/>
    <w:rsid w:val="00ED7B01"/>
    <w:rsid w:val="00EE2D15"/>
    <w:rsid w:val="00EE419B"/>
    <w:rsid w:val="00EE4958"/>
    <w:rsid w:val="00EE54DD"/>
    <w:rsid w:val="00EE620C"/>
    <w:rsid w:val="00EE7226"/>
    <w:rsid w:val="00EE73C4"/>
    <w:rsid w:val="00EE7E23"/>
    <w:rsid w:val="00EF066A"/>
    <w:rsid w:val="00EF0BC8"/>
    <w:rsid w:val="00EF0D66"/>
    <w:rsid w:val="00EF1014"/>
    <w:rsid w:val="00EF1918"/>
    <w:rsid w:val="00EF35D6"/>
    <w:rsid w:val="00EF3E5B"/>
    <w:rsid w:val="00EF4125"/>
    <w:rsid w:val="00EF4456"/>
    <w:rsid w:val="00EF627E"/>
    <w:rsid w:val="00EF6370"/>
    <w:rsid w:val="00EF7672"/>
    <w:rsid w:val="00EF7AA2"/>
    <w:rsid w:val="00EF7FD3"/>
    <w:rsid w:val="00F00807"/>
    <w:rsid w:val="00F014B7"/>
    <w:rsid w:val="00F01AF4"/>
    <w:rsid w:val="00F02610"/>
    <w:rsid w:val="00F03914"/>
    <w:rsid w:val="00F03AAC"/>
    <w:rsid w:val="00F04BF6"/>
    <w:rsid w:val="00F0638F"/>
    <w:rsid w:val="00F066A6"/>
    <w:rsid w:val="00F1441D"/>
    <w:rsid w:val="00F152CB"/>
    <w:rsid w:val="00F15C8C"/>
    <w:rsid w:val="00F16A45"/>
    <w:rsid w:val="00F16CC7"/>
    <w:rsid w:val="00F20802"/>
    <w:rsid w:val="00F2111F"/>
    <w:rsid w:val="00F21DFA"/>
    <w:rsid w:val="00F230AA"/>
    <w:rsid w:val="00F238AD"/>
    <w:rsid w:val="00F23FFD"/>
    <w:rsid w:val="00F24350"/>
    <w:rsid w:val="00F25E5D"/>
    <w:rsid w:val="00F30525"/>
    <w:rsid w:val="00F30DDD"/>
    <w:rsid w:val="00F31761"/>
    <w:rsid w:val="00F322F4"/>
    <w:rsid w:val="00F32DB7"/>
    <w:rsid w:val="00F33B00"/>
    <w:rsid w:val="00F357CE"/>
    <w:rsid w:val="00F35B23"/>
    <w:rsid w:val="00F35DFC"/>
    <w:rsid w:val="00F378AF"/>
    <w:rsid w:val="00F37DCA"/>
    <w:rsid w:val="00F415D5"/>
    <w:rsid w:val="00F417BA"/>
    <w:rsid w:val="00F42290"/>
    <w:rsid w:val="00F42535"/>
    <w:rsid w:val="00F43179"/>
    <w:rsid w:val="00F433A9"/>
    <w:rsid w:val="00F47954"/>
    <w:rsid w:val="00F5022B"/>
    <w:rsid w:val="00F512FB"/>
    <w:rsid w:val="00F516DF"/>
    <w:rsid w:val="00F5176F"/>
    <w:rsid w:val="00F51AB4"/>
    <w:rsid w:val="00F53346"/>
    <w:rsid w:val="00F53413"/>
    <w:rsid w:val="00F53982"/>
    <w:rsid w:val="00F547AB"/>
    <w:rsid w:val="00F54DDC"/>
    <w:rsid w:val="00F5504C"/>
    <w:rsid w:val="00F5648E"/>
    <w:rsid w:val="00F5719C"/>
    <w:rsid w:val="00F572E8"/>
    <w:rsid w:val="00F573E5"/>
    <w:rsid w:val="00F576D0"/>
    <w:rsid w:val="00F57BA0"/>
    <w:rsid w:val="00F6045C"/>
    <w:rsid w:val="00F61513"/>
    <w:rsid w:val="00F62E1E"/>
    <w:rsid w:val="00F62EB2"/>
    <w:rsid w:val="00F634D6"/>
    <w:rsid w:val="00F64D1D"/>
    <w:rsid w:val="00F667C0"/>
    <w:rsid w:val="00F676E5"/>
    <w:rsid w:val="00F709C9"/>
    <w:rsid w:val="00F71AA5"/>
    <w:rsid w:val="00F729B5"/>
    <w:rsid w:val="00F73215"/>
    <w:rsid w:val="00F7609E"/>
    <w:rsid w:val="00F76ABE"/>
    <w:rsid w:val="00F76C99"/>
    <w:rsid w:val="00F81B03"/>
    <w:rsid w:val="00F81BC5"/>
    <w:rsid w:val="00F82799"/>
    <w:rsid w:val="00F83D57"/>
    <w:rsid w:val="00F840D7"/>
    <w:rsid w:val="00F8540B"/>
    <w:rsid w:val="00F85D6A"/>
    <w:rsid w:val="00F86BDA"/>
    <w:rsid w:val="00F87165"/>
    <w:rsid w:val="00F87CF5"/>
    <w:rsid w:val="00F91884"/>
    <w:rsid w:val="00F91DEB"/>
    <w:rsid w:val="00F921F8"/>
    <w:rsid w:val="00F93E78"/>
    <w:rsid w:val="00F94E7A"/>
    <w:rsid w:val="00F952A6"/>
    <w:rsid w:val="00F96227"/>
    <w:rsid w:val="00F96996"/>
    <w:rsid w:val="00F96C8F"/>
    <w:rsid w:val="00F972CE"/>
    <w:rsid w:val="00FA0932"/>
    <w:rsid w:val="00FA0C6A"/>
    <w:rsid w:val="00FA2304"/>
    <w:rsid w:val="00FA323A"/>
    <w:rsid w:val="00FA3359"/>
    <w:rsid w:val="00FA3483"/>
    <w:rsid w:val="00FA39FC"/>
    <w:rsid w:val="00FA3FB2"/>
    <w:rsid w:val="00FA4AC3"/>
    <w:rsid w:val="00FA4B63"/>
    <w:rsid w:val="00FA4DBD"/>
    <w:rsid w:val="00FA640F"/>
    <w:rsid w:val="00FA67F5"/>
    <w:rsid w:val="00FB207D"/>
    <w:rsid w:val="00FB2403"/>
    <w:rsid w:val="00FB28A8"/>
    <w:rsid w:val="00FB5BE5"/>
    <w:rsid w:val="00FB660E"/>
    <w:rsid w:val="00FB7831"/>
    <w:rsid w:val="00FC109A"/>
    <w:rsid w:val="00FC17B0"/>
    <w:rsid w:val="00FC1830"/>
    <w:rsid w:val="00FC221C"/>
    <w:rsid w:val="00FC4273"/>
    <w:rsid w:val="00FC4FB1"/>
    <w:rsid w:val="00FC542D"/>
    <w:rsid w:val="00FC7355"/>
    <w:rsid w:val="00FD13E1"/>
    <w:rsid w:val="00FD1CAC"/>
    <w:rsid w:val="00FD247B"/>
    <w:rsid w:val="00FD2548"/>
    <w:rsid w:val="00FD71E9"/>
    <w:rsid w:val="00FE1060"/>
    <w:rsid w:val="00FE51D8"/>
    <w:rsid w:val="00FE5618"/>
    <w:rsid w:val="00FE59A7"/>
    <w:rsid w:val="00FE7675"/>
    <w:rsid w:val="00FE7677"/>
    <w:rsid w:val="00FE7BB4"/>
    <w:rsid w:val="00FF03BB"/>
    <w:rsid w:val="00FF2539"/>
    <w:rsid w:val="00FF2E41"/>
    <w:rsid w:val="00FF3D2F"/>
    <w:rsid w:val="00FF763C"/>
    <w:rsid w:val="00FF7E08"/>
  </w:rsids>
  <m:mathPr>
    <m:mathFont m:val="Cambria Math"/>
    <m:brkBin m:val="before"/>
    <m:brkBinSub m:val="--"/>
    <m:smallFrac m:val="0"/>
    <m:dispDef/>
    <m:lMargin m:val="0"/>
    <m:rMargin m:val="0"/>
    <m:defJc m:val="centerGroup"/>
    <m:wrapIndent m:val="1440"/>
    <m:intLim m:val="subSup"/>
    <m:naryLim m:val="undOvr"/>
  </m:mathPr>
  <w:themeFontLang w:val="sr-Latn-B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r-Latn-BA" w:eastAsia="sr-Latn-BA"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1106E"/>
    <w:rPr>
      <w:sz w:val="24"/>
      <w:szCs w:val="24"/>
      <w:lang w:val="en-US" w:eastAsia="en-US"/>
    </w:rPr>
  </w:style>
  <w:style w:type="paragraph" w:styleId="Heading1">
    <w:name w:val="heading 1"/>
    <w:basedOn w:val="Normal"/>
    <w:next w:val="Normal"/>
    <w:link w:val="Heading1Char"/>
    <w:qFormat/>
    <w:rsid w:val="007653D0"/>
    <w:pPr>
      <w:keepNext/>
      <w:numPr>
        <w:numId w:val="4"/>
      </w:numPr>
      <w:spacing w:after="120" w:line="360" w:lineRule="auto"/>
      <w:jc w:val="both"/>
      <w:outlineLvl w:val="0"/>
    </w:pPr>
    <w:rPr>
      <w:rFonts w:ascii="Times Cirilica" w:hAnsi="Times Cirilica"/>
      <w:b/>
      <w:smallCaps/>
      <w:sz w:val="32"/>
      <w:szCs w:val="20"/>
    </w:rPr>
  </w:style>
  <w:style w:type="paragraph" w:styleId="Heading2">
    <w:name w:val="heading 2"/>
    <w:basedOn w:val="Heading1"/>
    <w:next w:val="Normal"/>
    <w:qFormat/>
    <w:rsid w:val="007653D0"/>
    <w:pPr>
      <w:numPr>
        <w:ilvl w:val="1"/>
      </w:numPr>
      <w:spacing w:before="120" w:after="0"/>
      <w:jc w:val="left"/>
      <w:outlineLvl w:val="1"/>
    </w:pPr>
  </w:style>
  <w:style w:type="paragraph" w:styleId="Heading3">
    <w:name w:val="heading 3"/>
    <w:basedOn w:val="Normal"/>
    <w:next w:val="Normal"/>
    <w:qFormat/>
    <w:rsid w:val="007653D0"/>
    <w:pPr>
      <w:keepNext/>
      <w:numPr>
        <w:ilvl w:val="2"/>
        <w:numId w:val="4"/>
      </w:numPr>
      <w:spacing w:after="120" w:line="360" w:lineRule="auto"/>
      <w:jc w:val="both"/>
      <w:outlineLvl w:val="2"/>
    </w:pPr>
    <w:rPr>
      <w:rFonts w:ascii="Times Cirilica" w:hAnsi="Times Cirilica"/>
      <w:b/>
      <w:sz w:val="32"/>
      <w:szCs w:val="20"/>
    </w:rPr>
  </w:style>
  <w:style w:type="paragraph" w:styleId="Heading4">
    <w:name w:val="heading 4"/>
    <w:basedOn w:val="Normal"/>
    <w:next w:val="Normal"/>
    <w:qFormat/>
    <w:rsid w:val="007653D0"/>
    <w:pPr>
      <w:keepNext/>
      <w:numPr>
        <w:ilvl w:val="3"/>
        <w:numId w:val="4"/>
      </w:numPr>
      <w:outlineLvl w:val="3"/>
    </w:pPr>
    <w:rPr>
      <w:b/>
      <w:szCs w:val="20"/>
      <w:lang w:val="sl-SI"/>
    </w:rPr>
  </w:style>
  <w:style w:type="paragraph" w:styleId="Heading5">
    <w:name w:val="heading 5"/>
    <w:basedOn w:val="Normal"/>
    <w:next w:val="Normal"/>
    <w:qFormat/>
    <w:rsid w:val="007653D0"/>
    <w:pPr>
      <w:keepNext/>
      <w:numPr>
        <w:ilvl w:val="4"/>
        <w:numId w:val="4"/>
      </w:numPr>
      <w:jc w:val="both"/>
      <w:outlineLvl w:val="4"/>
    </w:pPr>
    <w:rPr>
      <w:b/>
      <w:bCs/>
      <w:szCs w:val="20"/>
      <w:lang w:val="sl-SI"/>
    </w:rPr>
  </w:style>
  <w:style w:type="paragraph" w:styleId="Heading6">
    <w:name w:val="heading 6"/>
    <w:basedOn w:val="Normal"/>
    <w:next w:val="Normal"/>
    <w:qFormat/>
    <w:rsid w:val="007653D0"/>
    <w:pPr>
      <w:keepNext/>
      <w:numPr>
        <w:ilvl w:val="5"/>
        <w:numId w:val="4"/>
      </w:numPr>
      <w:jc w:val="center"/>
      <w:outlineLvl w:val="5"/>
    </w:pPr>
    <w:rPr>
      <w:b/>
      <w:szCs w:val="20"/>
      <w:lang w:val="sl-SI"/>
    </w:rPr>
  </w:style>
  <w:style w:type="paragraph" w:styleId="Heading7">
    <w:name w:val="heading 7"/>
    <w:basedOn w:val="Normal"/>
    <w:next w:val="Normal"/>
    <w:qFormat/>
    <w:rsid w:val="007653D0"/>
    <w:pPr>
      <w:keepNext/>
      <w:numPr>
        <w:ilvl w:val="6"/>
        <w:numId w:val="4"/>
      </w:numPr>
      <w:jc w:val="center"/>
      <w:outlineLvl w:val="6"/>
    </w:pPr>
    <w:rPr>
      <w:b/>
      <w:sz w:val="20"/>
      <w:szCs w:val="20"/>
      <w:lang w:val="sl-SI"/>
    </w:rPr>
  </w:style>
  <w:style w:type="paragraph" w:styleId="Heading8">
    <w:name w:val="heading 8"/>
    <w:basedOn w:val="Normal"/>
    <w:next w:val="Normal"/>
    <w:qFormat/>
    <w:rsid w:val="007653D0"/>
    <w:pPr>
      <w:keepNext/>
      <w:numPr>
        <w:ilvl w:val="7"/>
        <w:numId w:val="4"/>
      </w:numPr>
      <w:jc w:val="both"/>
      <w:outlineLvl w:val="7"/>
    </w:pPr>
    <w:rPr>
      <w:b/>
      <w:sz w:val="20"/>
      <w:szCs w:val="20"/>
      <w:lang w:val="sl-SI"/>
    </w:rPr>
  </w:style>
  <w:style w:type="paragraph" w:styleId="Heading9">
    <w:name w:val="heading 9"/>
    <w:basedOn w:val="Normal"/>
    <w:next w:val="Normal"/>
    <w:qFormat/>
    <w:rsid w:val="007653D0"/>
    <w:pPr>
      <w:keepNext/>
      <w:numPr>
        <w:ilvl w:val="8"/>
        <w:numId w:val="4"/>
      </w:numPr>
      <w:jc w:val="center"/>
      <w:outlineLvl w:val="8"/>
    </w:pPr>
    <w:rPr>
      <w:szCs w:val="20"/>
      <w:lang w:val="sl-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B37944"/>
    <w:rPr>
      <w:rFonts w:ascii="Tahoma" w:hAnsi="Tahoma" w:cs="Tahoma"/>
      <w:sz w:val="16"/>
      <w:szCs w:val="16"/>
    </w:rPr>
  </w:style>
  <w:style w:type="paragraph" w:styleId="PlainText">
    <w:name w:val="Plain Text"/>
    <w:basedOn w:val="Normal"/>
    <w:rsid w:val="007653D0"/>
    <w:pPr>
      <w:spacing w:after="120"/>
      <w:jc w:val="both"/>
    </w:pPr>
    <w:rPr>
      <w:rFonts w:ascii="Courier New" w:hAnsi="Courier New"/>
      <w:sz w:val="20"/>
      <w:szCs w:val="20"/>
    </w:rPr>
  </w:style>
  <w:style w:type="paragraph" w:styleId="Footer">
    <w:name w:val="footer"/>
    <w:basedOn w:val="Normal"/>
    <w:rsid w:val="007653D0"/>
    <w:pPr>
      <w:tabs>
        <w:tab w:val="center" w:pos="4153"/>
        <w:tab w:val="right" w:pos="8306"/>
      </w:tabs>
      <w:spacing w:after="120"/>
      <w:jc w:val="both"/>
    </w:pPr>
    <w:rPr>
      <w:szCs w:val="20"/>
    </w:rPr>
  </w:style>
  <w:style w:type="paragraph" w:styleId="Header">
    <w:name w:val="header"/>
    <w:basedOn w:val="Normal"/>
    <w:link w:val="HeaderChar"/>
    <w:rsid w:val="007653D0"/>
    <w:pPr>
      <w:tabs>
        <w:tab w:val="center" w:pos="4320"/>
        <w:tab w:val="right" w:pos="8640"/>
      </w:tabs>
    </w:pPr>
    <w:rPr>
      <w:sz w:val="18"/>
      <w:szCs w:val="20"/>
      <w:lang w:val="sr-Cyrl-CS" w:eastAsia="hr-HR"/>
    </w:rPr>
  </w:style>
  <w:style w:type="character" w:styleId="PageNumber">
    <w:name w:val="page number"/>
    <w:basedOn w:val="DefaultParagraphFont"/>
    <w:rsid w:val="00DA450A"/>
  </w:style>
  <w:style w:type="paragraph" w:styleId="NoSpacing">
    <w:name w:val="No Spacing"/>
    <w:link w:val="NoSpacingChar"/>
    <w:qFormat/>
    <w:rsid w:val="00DD3A57"/>
    <w:rPr>
      <w:rFonts w:ascii="Calibri" w:eastAsia="Calibri" w:hAnsi="Calibri"/>
      <w:sz w:val="22"/>
      <w:szCs w:val="22"/>
      <w:lang w:val="en-US" w:eastAsia="en-US"/>
    </w:rPr>
  </w:style>
  <w:style w:type="character" w:customStyle="1" w:styleId="NoSpacingChar">
    <w:name w:val="No Spacing Char"/>
    <w:link w:val="NoSpacing"/>
    <w:rsid w:val="00DD3A57"/>
    <w:rPr>
      <w:rFonts w:ascii="Calibri" w:eastAsia="Calibri" w:hAnsi="Calibri"/>
      <w:sz w:val="22"/>
      <w:szCs w:val="22"/>
      <w:lang w:val="en-US" w:eastAsia="en-US" w:bidi="ar-SA"/>
    </w:rPr>
  </w:style>
  <w:style w:type="character" w:styleId="FootnoteReference">
    <w:name w:val="footnote reference"/>
    <w:unhideWhenUsed/>
    <w:rsid w:val="00830495"/>
    <w:rPr>
      <w:vertAlign w:val="superscript"/>
    </w:rPr>
  </w:style>
  <w:style w:type="paragraph" w:styleId="BodyText2">
    <w:name w:val="Body Text 2"/>
    <w:basedOn w:val="Normal"/>
    <w:link w:val="BodyText2Char"/>
    <w:rsid w:val="00830495"/>
    <w:pPr>
      <w:jc w:val="both"/>
    </w:pPr>
    <w:rPr>
      <w:lang w:val="sr-Cyrl-CS"/>
    </w:rPr>
  </w:style>
  <w:style w:type="character" w:customStyle="1" w:styleId="BodyText2Char">
    <w:name w:val="Body Text 2 Char"/>
    <w:link w:val="BodyText2"/>
    <w:rsid w:val="00830495"/>
    <w:rPr>
      <w:sz w:val="24"/>
      <w:szCs w:val="24"/>
      <w:lang w:val="sr-Cyrl-CS"/>
    </w:rPr>
  </w:style>
  <w:style w:type="paragraph" w:styleId="FootnoteText">
    <w:name w:val="footnote text"/>
    <w:basedOn w:val="Normal"/>
    <w:link w:val="FootnoteTextChar"/>
    <w:rsid w:val="00830495"/>
    <w:rPr>
      <w:sz w:val="20"/>
      <w:szCs w:val="20"/>
    </w:rPr>
  </w:style>
  <w:style w:type="character" w:customStyle="1" w:styleId="FootnoteTextChar">
    <w:name w:val="Footnote Text Char"/>
    <w:basedOn w:val="DefaultParagraphFont"/>
    <w:link w:val="FootnoteText"/>
    <w:rsid w:val="00830495"/>
  </w:style>
  <w:style w:type="table" w:styleId="TableGrid">
    <w:name w:val="Table Grid"/>
    <w:basedOn w:val="TableNormal"/>
    <w:rsid w:val="002F05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ocumentMap">
    <w:name w:val="Document Map"/>
    <w:basedOn w:val="Normal"/>
    <w:semiHidden/>
    <w:rsid w:val="004F7908"/>
    <w:pPr>
      <w:shd w:val="clear" w:color="auto" w:fill="000080"/>
    </w:pPr>
    <w:rPr>
      <w:rFonts w:ascii="Tahoma" w:hAnsi="Tahoma" w:cs="Tahoma"/>
      <w:sz w:val="20"/>
      <w:szCs w:val="20"/>
    </w:rPr>
  </w:style>
  <w:style w:type="character" w:customStyle="1" w:styleId="st">
    <w:name w:val="st"/>
    <w:basedOn w:val="DefaultParagraphFont"/>
    <w:rsid w:val="006B1179"/>
  </w:style>
  <w:style w:type="character" w:styleId="Emphasis">
    <w:name w:val="Emphasis"/>
    <w:uiPriority w:val="20"/>
    <w:qFormat/>
    <w:rsid w:val="006B1179"/>
    <w:rPr>
      <w:i/>
      <w:iCs/>
    </w:rPr>
  </w:style>
  <w:style w:type="character" w:styleId="Hyperlink">
    <w:name w:val="Hyperlink"/>
    <w:uiPriority w:val="99"/>
    <w:rsid w:val="00042897"/>
    <w:rPr>
      <w:color w:val="0000FF"/>
      <w:u w:val="single"/>
    </w:rPr>
  </w:style>
  <w:style w:type="character" w:customStyle="1" w:styleId="HeaderChar">
    <w:name w:val="Header Char"/>
    <w:link w:val="Header"/>
    <w:locked/>
    <w:rsid w:val="009B07B4"/>
    <w:rPr>
      <w:sz w:val="18"/>
      <w:lang w:val="sr-Cyrl-CS" w:eastAsia="hr-HR"/>
    </w:rPr>
  </w:style>
  <w:style w:type="paragraph" w:styleId="BodyText">
    <w:name w:val="Body Text"/>
    <w:basedOn w:val="Normal"/>
    <w:link w:val="BodyTextChar"/>
    <w:rsid w:val="00073CB9"/>
    <w:pPr>
      <w:spacing w:after="120"/>
    </w:pPr>
  </w:style>
  <w:style w:type="character" w:customStyle="1" w:styleId="BodyTextChar">
    <w:name w:val="Body Text Char"/>
    <w:link w:val="BodyText"/>
    <w:rsid w:val="00073CB9"/>
    <w:rPr>
      <w:sz w:val="24"/>
      <w:szCs w:val="24"/>
    </w:rPr>
  </w:style>
  <w:style w:type="paragraph" w:customStyle="1" w:styleId="BodySingle">
    <w:name w:val="Body Single"/>
    <w:rsid w:val="00F5022B"/>
    <w:rPr>
      <w:rFonts w:ascii="Trebuchet MS" w:hAnsi="Trebuchet MS" w:cs="Trebuchet MS"/>
      <w:color w:val="000000"/>
      <w:sz w:val="24"/>
      <w:szCs w:val="24"/>
      <w:lang w:val="en-US" w:eastAsia="en-US"/>
    </w:rPr>
  </w:style>
  <w:style w:type="paragraph" w:styleId="ListParagraph">
    <w:name w:val="List Paragraph"/>
    <w:basedOn w:val="Normal"/>
    <w:uiPriority w:val="34"/>
    <w:qFormat/>
    <w:rsid w:val="00F5022B"/>
    <w:pPr>
      <w:ind w:left="720"/>
    </w:pPr>
    <w:rPr>
      <w:rFonts w:ascii="Helvetica" w:hAnsi="Helvetica"/>
      <w:snapToGrid w:val="0"/>
      <w:szCs w:val="20"/>
    </w:rPr>
  </w:style>
  <w:style w:type="paragraph" w:styleId="CommentText">
    <w:name w:val="annotation text"/>
    <w:basedOn w:val="Normal"/>
    <w:link w:val="CommentTextChar"/>
    <w:rsid w:val="00A30E21"/>
    <w:rPr>
      <w:rFonts w:ascii="Trebuchet MS" w:hAnsi="Trebuchet MS" w:cs="Trebuchet MS"/>
      <w:sz w:val="20"/>
      <w:szCs w:val="20"/>
    </w:rPr>
  </w:style>
  <w:style w:type="character" w:customStyle="1" w:styleId="CommentTextChar">
    <w:name w:val="Comment Text Char"/>
    <w:link w:val="CommentText"/>
    <w:rsid w:val="00A30E21"/>
    <w:rPr>
      <w:rFonts w:ascii="Trebuchet MS" w:hAnsi="Trebuchet MS" w:cs="Trebuchet MS"/>
    </w:rPr>
  </w:style>
  <w:style w:type="paragraph" w:styleId="BodyTextIndent">
    <w:name w:val="Body Text Indent"/>
    <w:basedOn w:val="Normal"/>
    <w:link w:val="BodyTextIndentChar"/>
    <w:rsid w:val="00CE6D8A"/>
    <w:pPr>
      <w:spacing w:after="120"/>
      <w:ind w:left="283"/>
    </w:pPr>
  </w:style>
  <w:style w:type="character" w:customStyle="1" w:styleId="BodyTextIndentChar">
    <w:name w:val="Body Text Indent Char"/>
    <w:link w:val="BodyTextIndent"/>
    <w:rsid w:val="00CE6D8A"/>
    <w:rPr>
      <w:sz w:val="24"/>
      <w:szCs w:val="24"/>
    </w:rPr>
  </w:style>
  <w:style w:type="paragraph" w:styleId="TOCHeading">
    <w:name w:val="TOC Heading"/>
    <w:basedOn w:val="Heading1"/>
    <w:next w:val="Normal"/>
    <w:uiPriority w:val="39"/>
    <w:semiHidden/>
    <w:unhideWhenUsed/>
    <w:qFormat/>
    <w:rsid w:val="00B64A52"/>
    <w:pPr>
      <w:keepLines/>
      <w:numPr>
        <w:numId w:val="0"/>
      </w:numPr>
      <w:spacing w:before="480" w:after="0" w:line="276" w:lineRule="auto"/>
      <w:jc w:val="left"/>
      <w:outlineLvl w:val="9"/>
    </w:pPr>
    <w:rPr>
      <w:rFonts w:ascii="Cambria" w:eastAsia="MS Gothic" w:hAnsi="Cambria"/>
      <w:bCs/>
      <w:smallCaps w:val="0"/>
      <w:color w:val="365F91"/>
      <w:sz w:val="28"/>
      <w:szCs w:val="28"/>
      <w:lang w:eastAsia="ja-JP"/>
    </w:rPr>
  </w:style>
  <w:style w:type="paragraph" w:styleId="TOC1">
    <w:name w:val="toc 1"/>
    <w:basedOn w:val="Normal"/>
    <w:next w:val="Normal"/>
    <w:autoRedefine/>
    <w:uiPriority w:val="39"/>
    <w:rsid w:val="0033169F"/>
    <w:pPr>
      <w:tabs>
        <w:tab w:val="left" w:pos="660"/>
        <w:tab w:val="right" w:leader="dot" w:pos="8942"/>
      </w:tabs>
      <w:jc w:val="both"/>
    </w:pPr>
  </w:style>
  <w:style w:type="paragraph" w:styleId="TOC2">
    <w:name w:val="toc 2"/>
    <w:basedOn w:val="Normal"/>
    <w:next w:val="Normal"/>
    <w:autoRedefine/>
    <w:uiPriority w:val="39"/>
    <w:rsid w:val="0009145D"/>
    <w:pPr>
      <w:tabs>
        <w:tab w:val="left" w:pos="660"/>
        <w:tab w:val="right" w:leader="dot" w:pos="8942"/>
      </w:tabs>
      <w:ind w:left="240"/>
      <w:jc w:val="both"/>
    </w:pPr>
  </w:style>
  <w:style w:type="paragraph" w:styleId="TOC3">
    <w:name w:val="toc 3"/>
    <w:basedOn w:val="Normal"/>
    <w:next w:val="Normal"/>
    <w:autoRedefine/>
    <w:uiPriority w:val="39"/>
    <w:rsid w:val="00B64A52"/>
    <w:pPr>
      <w:ind w:left="480"/>
    </w:pPr>
  </w:style>
  <w:style w:type="paragraph" w:customStyle="1" w:styleId="Default">
    <w:name w:val="Default"/>
    <w:rsid w:val="008C46DC"/>
    <w:pPr>
      <w:autoSpaceDE w:val="0"/>
      <w:autoSpaceDN w:val="0"/>
      <w:adjustRightInd w:val="0"/>
    </w:pPr>
    <w:rPr>
      <w:color w:val="000000"/>
      <w:sz w:val="24"/>
      <w:szCs w:val="24"/>
      <w:lang w:val="en-US" w:eastAsia="en-US"/>
    </w:rPr>
  </w:style>
  <w:style w:type="paragraph" w:customStyle="1" w:styleId="Stil1">
    <w:name w:val="Stil 1"/>
    <w:basedOn w:val="Normal"/>
    <w:qFormat/>
    <w:rsid w:val="00321C8E"/>
    <w:pPr>
      <w:numPr>
        <w:numId w:val="45"/>
      </w:numPr>
      <w:spacing w:before="60" w:after="60"/>
    </w:pPr>
    <w:rPr>
      <w:rFonts w:ascii="Trebuchet MS" w:eastAsia="Arial Unicode MS" w:hAnsi="Trebuchet MS" w:cs="Arial"/>
      <w:b/>
      <w:bCs/>
      <w:sz w:val="20"/>
      <w:lang w:val="hr-HR" w:eastAsia="hr-HR"/>
    </w:rPr>
  </w:style>
  <w:style w:type="character" w:customStyle="1" w:styleId="Heading1Char">
    <w:name w:val="Heading 1 Char"/>
    <w:basedOn w:val="DefaultParagraphFont"/>
    <w:link w:val="Heading1"/>
    <w:rsid w:val="00E52588"/>
    <w:rPr>
      <w:rFonts w:ascii="Times Cirilica" w:hAnsi="Times Cirilica"/>
      <w:b/>
      <w:smallCaps/>
      <w:sz w:val="32"/>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r-Latn-BA" w:eastAsia="sr-Latn-BA"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1106E"/>
    <w:rPr>
      <w:sz w:val="24"/>
      <w:szCs w:val="24"/>
      <w:lang w:val="en-US" w:eastAsia="en-US"/>
    </w:rPr>
  </w:style>
  <w:style w:type="paragraph" w:styleId="Heading1">
    <w:name w:val="heading 1"/>
    <w:basedOn w:val="Normal"/>
    <w:next w:val="Normal"/>
    <w:link w:val="Heading1Char"/>
    <w:qFormat/>
    <w:rsid w:val="007653D0"/>
    <w:pPr>
      <w:keepNext/>
      <w:numPr>
        <w:numId w:val="4"/>
      </w:numPr>
      <w:spacing w:after="120" w:line="360" w:lineRule="auto"/>
      <w:jc w:val="both"/>
      <w:outlineLvl w:val="0"/>
    </w:pPr>
    <w:rPr>
      <w:rFonts w:ascii="Times Cirilica" w:hAnsi="Times Cirilica"/>
      <w:b/>
      <w:smallCaps/>
      <w:sz w:val="32"/>
      <w:szCs w:val="20"/>
    </w:rPr>
  </w:style>
  <w:style w:type="paragraph" w:styleId="Heading2">
    <w:name w:val="heading 2"/>
    <w:basedOn w:val="Heading1"/>
    <w:next w:val="Normal"/>
    <w:qFormat/>
    <w:rsid w:val="007653D0"/>
    <w:pPr>
      <w:numPr>
        <w:ilvl w:val="1"/>
      </w:numPr>
      <w:spacing w:before="120" w:after="0"/>
      <w:jc w:val="left"/>
      <w:outlineLvl w:val="1"/>
    </w:pPr>
  </w:style>
  <w:style w:type="paragraph" w:styleId="Heading3">
    <w:name w:val="heading 3"/>
    <w:basedOn w:val="Normal"/>
    <w:next w:val="Normal"/>
    <w:qFormat/>
    <w:rsid w:val="007653D0"/>
    <w:pPr>
      <w:keepNext/>
      <w:numPr>
        <w:ilvl w:val="2"/>
        <w:numId w:val="4"/>
      </w:numPr>
      <w:spacing w:after="120" w:line="360" w:lineRule="auto"/>
      <w:jc w:val="both"/>
      <w:outlineLvl w:val="2"/>
    </w:pPr>
    <w:rPr>
      <w:rFonts w:ascii="Times Cirilica" w:hAnsi="Times Cirilica"/>
      <w:b/>
      <w:sz w:val="32"/>
      <w:szCs w:val="20"/>
    </w:rPr>
  </w:style>
  <w:style w:type="paragraph" w:styleId="Heading4">
    <w:name w:val="heading 4"/>
    <w:basedOn w:val="Normal"/>
    <w:next w:val="Normal"/>
    <w:qFormat/>
    <w:rsid w:val="007653D0"/>
    <w:pPr>
      <w:keepNext/>
      <w:numPr>
        <w:ilvl w:val="3"/>
        <w:numId w:val="4"/>
      </w:numPr>
      <w:outlineLvl w:val="3"/>
    </w:pPr>
    <w:rPr>
      <w:b/>
      <w:szCs w:val="20"/>
      <w:lang w:val="sl-SI"/>
    </w:rPr>
  </w:style>
  <w:style w:type="paragraph" w:styleId="Heading5">
    <w:name w:val="heading 5"/>
    <w:basedOn w:val="Normal"/>
    <w:next w:val="Normal"/>
    <w:qFormat/>
    <w:rsid w:val="007653D0"/>
    <w:pPr>
      <w:keepNext/>
      <w:numPr>
        <w:ilvl w:val="4"/>
        <w:numId w:val="4"/>
      </w:numPr>
      <w:jc w:val="both"/>
      <w:outlineLvl w:val="4"/>
    </w:pPr>
    <w:rPr>
      <w:b/>
      <w:bCs/>
      <w:szCs w:val="20"/>
      <w:lang w:val="sl-SI"/>
    </w:rPr>
  </w:style>
  <w:style w:type="paragraph" w:styleId="Heading6">
    <w:name w:val="heading 6"/>
    <w:basedOn w:val="Normal"/>
    <w:next w:val="Normal"/>
    <w:qFormat/>
    <w:rsid w:val="007653D0"/>
    <w:pPr>
      <w:keepNext/>
      <w:numPr>
        <w:ilvl w:val="5"/>
        <w:numId w:val="4"/>
      </w:numPr>
      <w:jc w:val="center"/>
      <w:outlineLvl w:val="5"/>
    </w:pPr>
    <w:rPr>
      <w:b/>
      <w:szCs w:val="20"/>
      <w:lang w:val="sl-SI"/>
    </w:rPr>
  </w:style>
  <w:style w:type="paragraph" w:styleId="Heading7">
    <w:name w:val="heading 7"/>
    <w:basedOn w:val="Normal"/>
    <w:next w:val="Normal"/>
    <w:qFormat/>
    <w:rsid w:val="007653D0"/>
    <w:pPr>
      <w:keepNext/>
      <w:numPr>
        <w:ilvl w:val="6"/>
        <w:numId w:val="4"/>
      </w:numPr>
      <w:jc w:val="center"/>
      <w:outlineLvl w:val="6"/>
    </w:pPr>
    <w:rPr>
      <w:b/>
      <w:sz w:val="20"/>
      <w:szCs w:val="20"/>
      <w:lang w:val="sl-SI"/>
    </w:rPr>
  </w:style>
  <w:style w:type="paragraph" w:styleId="Heading8">
    <w:name w:val="heading 8"/>
    <w:basedOn w:val="Normal"/>
    <w:next w:val="Normal"/>
    <w:qFormat/>
    <w:rsid w:val="007653D0"/>
    <w:pPr>
      <w:keepNext/>
      <w:numPr>
        <w:ilvl w:val="7"/>
        <w:numId w:val="4"/>
      </w:numPr>
      <w:jc w:val="both"/>
      <w:outlineLvl w:val="7"/>
    </w:pPr>
    <w:rPr>
      <w:b/>
      <w:sz w:val="20"/>
      <w:szCs w:val="20"/>
      <w:lang w:val="sl-SI"/>
    </w:rPr>
  </w:style>
  <w:style w:type="paragraph" w:styleId="Heading9">
    <w:name w:val="heading 9"/>
    <w:basedOn w:val="Normal"/>
    <w:next w:val="Normal"/>
    <w:qFormat/>
    <w:rsid w:val="007653D0"/>
    <w:pPr>
      <w:keepNext/>
      <w:numPr>
        <w:ilvl w:val="8"/>
        <w:numId w:val="4"/>
      </w:numPr>
      <w:jc w:val="center"/>
      <w:outlineLvl w:val="8"/>
    </w:pPr>
    <w:rPr>
      <w:szCs w:val="20"/>
      <w:lang w:val="sl-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B37944"/>
    <w:rPr>
      <w:rFonts w:ascii="Tahoma" w:hAnsi="Tahoma" w:cs="Tahoma"/>
      <w:sz w:val="16"/>
      <w:szCs w:val="16"/>
    </w:rPr>
  </w:style>
  <w:style w:type="paragraph" w:styleId="PlainText">
    <w:name w:val="Plain Text"/>
    <w:basedOn w:val="Normal"/>
    <w:rsid w:val="007653D0"/>
    <w:pPr>
      <w:spacing w:after="120"/>
      <w:jc w:val="both"/>
    </w:pPr>
    <w:rPr>
      <w:rFonts w:ascii="Courier New" w:hAnsi="Courier New"/>
      <w:sz w:val="20"/>
      <w:szCs w:val="20"/>
    </w:rPr>
  </w:style>
  <w:style w:type="paragraph" w:styleId="Footer">
    <w:name w:val="footer"/>
    <w:basedOn w:val="Normal"/>
    <w:rsid w:val="007653D0"/>
    <w:pPr>
      <w:tabs>
        <w:tab w:val="center" w:pos="4153"/>
        <w:tab w:val="right" w:pos="8306"/>
      </w:tabs>
      <w:spacing w:after="120"/>
      <w:jc w:val="both"/>
    </w:pPr>
    <w:rPr>
      <w:szCs w:val="20"/>
    </w:rPr>
  </w:style>
  <w:style w:type="paragraph" w:styleId="Header">
    <w:name w:val="header"/>
    <w:basedOn w:val="Normal"/>
    <w:link w:val="HeaderChar"/>
    <w:rsid w:val="007653D0"/>
    <w:pPr>
      <w:tabs>
        <w:tab w:val="center" w:pos="4320"/>
        <w:tab w:val="right" w:pos="8640"/>
      </w:tabs>
    </w:pPr>
    <w:rPr>
      <w:sz w:val="18"/>
      <w:szCs w:val="20"/>
      <w:lang w:val="sr-Cyrl-CS" w:eastAsia="hr-HR"/>
    </w:rPr>
  </w:style>
  <w:style w:type="character" w:styleId="PageNumber">
    <w:name w:val="page number"/>
    <w:basedOn w:val="DefaultParagraphFont"/>
    <w:rsid w:val="00DA450A"/>
  </w:style>
  <w:style w:type="paragraph" w:styleId="NoSpacing">
    <w:name w:val="No Spacing"/>
    <w:link w:val="NoSpacingChar"/>
    <w:qFormat/>
    <w:rsid w:val="00DD3A57"/>
    <w:rPr>
      <w:rFonts w:ascii="Calibri" w:eastAsia="Calibri" w:hAnsi="Calibri"/>
      <w:sz w:val="22"/>
      <w:szCs w:val="22"/>
      <w:lang w:val="en-US" w:eastAsia="en-US"/>
    </w:rPr>
  </w:style>
  <w:style w:type="character" w:customStyle="1" w:styleId="NoSpacingChar">
    <w:name w:val="No Spacing Char"/>
    <w:link w:val="NoSpacing"/>
    <w:rsid w:val="00DD3A57"/>
    <w:rPr>
      <w:rFonts w:ascii="Calibri" w:eastAsia="Calibri" w:hAnsi="Calibri"/>
      <w:sz w:val="22"/>
      <w:szCs w:val="22"/>
      <w:lang w:val="en-US" w:eastAsia="en-US" w:bidi="ar-SA"/>
    </w:rPr>
  </w:style>
  <w:style w:type="character" w:styleId="FootnoteReference">
    <w:name w:val="footnote reference"/>
    <w:unhideWhenUsed/>
    <w:rsid w:val="00830495"/>
    <w:rPr>
      <w:vertAlign w:val="superscript"/>
    </w:rPr>
  </w:style>
  <w:style w:type="paragraph" w:styleId="BodyText2">
    <w:name w:val="Body Text 2"/>
    <w:basedOn w:val="Normal"/>
    <w:link w:val="BodyText2Char"/>
    <w:rsid w:val="00830495"/>
    <w:pPr>
      <w:jc w:val="both"/>
    </w:pPr>
    <w:rPr>
      <w:lang w:val="sr-Cyrl-CS"/>
    </w:rPr>
  </w:style>
  <w:style w:type="character" w:customStyle="1" w:styleId="BodyText2Char">
    <w:name w:val="Body Text 2 Char"/>
    <w:link w:val="BodyText2"/>
    <w:rsid w:val="00830495"/>
    <w:rPr>
      <w:sz w:val="24"/>
      <w:szCs w:val="24"/>
      <w:lang w:val="sr-Cyrl-CS"/>
    </w:rPr>
  </w:style>
  <w:style w:type="paragraph" w:styleId="FootnoteText">
    <w:name w:val="footnote text"/>
    <w:basedOn w:val="Normal"/>
    <w:link w:val="FootnoteTextChar"/>
    <w:rsid w:val="00830495"/>
    <w:rPr>
      <w:sz w:val="20"/>
      <w:szCs w:val="20"/>
    </w:rPr>
  </w:style>
  <w:style w:type="character" w:customStyle="1" w:styleId="FootnoteTextChar">
    <w:name w:val="Footnote Text Char"/>
    <w:basedOn w:val="DefaultParagraphFont"/>
    <w:link w:val="FootnoteText"/>
    <w:rsid w:val="00830495"/>
  </w:style>
  <w:style w:type="table" w:styleId="TableGrid">
    <w:name w:val="Table Grid"/>
    <w:basedOn w:val="TableNormal"/>
    <w:rsid w:val="002F05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ocumentMap">
    <w:name w:val="Document Map"/>
    <w:basedOn w:val="Normal"/>
    <w:semiHidden/>
    <w:rsid w:val="004F7908"/>
    <w:pPr>
      <w:shd w:val="clear" w:color="auto" w:fill="000080"/>
    </w:pPr>
    <w:rPr>
      <w:rFonts w:ascii="Tahoma" w:hAnsi="Tahoma" w:cs="Tahoma"/>
      <w:sz w:val="20"/>
      <w:szCs w:val="20"/>
    </w:rPr>
  </w:style>
  <w:style w:type="character" w:customStyle="1" w:styleId="st">
    <w:name w:val="st"/>
    <w:basedOn w:val="DefaultParagraphFont"/>
    <w:rsid w:val="006B1179"/>
  </w:style>
  <w:style w:type="character" w:styleId="Emphasis">
    <w:name w:val="Emphasis"/>
    <w:uiPriority w:val="20"/>
    <w:qFormat/>
    <w:rsid w:val="006B1179"/>
    <w:rPr>
      <w:i/>
      <w:iCs/>
    </w:rPr>
  </w:style>
  <w:style w:type="character" w:styleId="Hyperlink">
    <w:name w:val="Hyperlink"/>
    <w:uiPriority w:val="99"/>
    <w:rsid w:val="00042897"/>
    <w:rPr>
      <w:color w:val="0000FF"/>
      <w:u w:val="single"/>
    </w:rPr>
  </w:style>
  <w:style w:type="character" w:customStyle="1" w:styleId="HeaderChar">
    <w:name w:val="Header Char"/>
    <w:link w:val="Header"/>
    <w:locked/>
    <w:rsid w:val="009B07B4"/>
    <w:rPr>
      <w:sz w:val="18"/>
      <w:lang w:val="sr-Cyrl-CS" w:eastAsia="hr-HR"/>
    </w:rPr>
  </w:style>
  <w:style w:type="paragraph" w:styleId="BodyText">
    <w:name w:val="Body Text"/>
    <w:basedOn w:val="Normal"/>
    <w:link w:val="BodyTextChar"/>
    <w:rsid w:val="00073CB9"/>
    <w:pPr>
      <w:spacing w:after="120"/>
    </w:pPr>
  </w:style>
  <w:style w:type="character" w:customStyle="1" w:styleId="BodyTextChar">
    <w:name w:val="Body Text Char"/>
    <w:link w:val="BodyText"/>
    <w:rsid w:val="00073CB9"/>
    <w:rPr>
      <w:sz w:val="24"/>
      <w:szCs w:val="24"/>
    </w:rPr>
  </w:style>
  <w:style w:type="paragraph" w:customStyle="1" w:styleId="BodySingle">
    <w:name w:val="Body Single"/>
    <w:rsid w:val="00F5022B"/>
    <w:rPr>
      <w:rFonts w:ascii="Trebuchet MS" w:hAnsi="Trebuchet MS" w:cs="Trebuchet MS"/>
      <w:color w:val="000000"/>
      <w:sz w:val="24"/>
      <w:szCs w:val="24"/>
      <w:lang w:val="en-US" w:eastAsia="en-US"/>
    </w:rPr>
  </w:style>
  <w:style w:type="paragraph" w:styleId="ListParagraph">
    <w:name w:val="List Paragraph"/>
    <w:basedOn w:val="Normal"/>
    <w:uiPriority w:val="34"/>
    <w:qFormat/>
    <w:rsid w:val="00F5022B"/>
    <w:pPr>
      <w:ind w:left="720"/>
    </w:pPr>
    <w:rPr>
      <w:rFonts w:ascii="Helvetica" w:hAnsi="Helvetica"/>
      <w:snapToGrid w:val="0"/>
      <w:szCs w:val="20"/>
    </w:rPr>
  </w:style>
  <w:style w:type="paragraph" w:styleId="CommentText">
    <w:name w:val="annotation text"/>
    <w:basedOn w:val="Normal"/>
    <w:link w:val="CommentTextChar"/>
    <w:rsid w:val="00A30E21"/>
    <w:rPr>
      <w:rFonts w:ascii="Trebuchet MS" w:hAnsi="Trebuchet MS" w:cs="Trebuchet MS"/>
      <w:sz w:val="20"/>
      <w:szCs w:val="20"/>
    </w:rPr>
  </w:style>
  <w:style w:type="character" w:customStyle="1" w:styleId="CommentTextChar">
    <w:name w:val="Comment Text Char"/>
    <w:link w:val="CommentText"/>
    <w:rsid w:val="00A30E21"/>
    <w:rPr>
      <w:rFonts w:ascii="Trebuchet MS" w:hAnsi="Trebuchet MS" w:cs="Trebuchet MS"/>
    </w:rPr>
  </w:style>
  <w:style w:type="paragraph" w:styleId="BodyTextIndent">
    <w:name w:val="Body Text Indent"/>
    <w:basedOn w:val="Normal"/>
    <w:link w:val="BodyTextIndentChar"/>
    <w:rsid w:val="00CE6D8A"/>
    <w:pPr>
      <w:spacing w:after="120"/>
      <w:ind w:left="283"/>
    </w:pPr>
  </w:style>
  <w:style w:type="character" w:customStyle="1" w:styleId="BodyTextIndentChar">
    <w:name w:val="Body Text Indent Char"/>
    <w:link w:val="BodyTextIndent"/>
    <w:rsid w:val="00CE6D8A"/>
    <w:rPr>
      <w:sz w:val="24"/>
      <w:szCs w:val="24"/>
    </w:rPr>
  </w:style>
  <w:style w:type="paragraph" w:styleId="TOCHeading">
    <w:name w:val="TOC Heading"/>
    <w:basedOn w:val="Heading1"/>
    <w:next w:val="Normal"/>
    <w:uiPriority w:val="39"/>
    <w:semiHidden/>
    <w:unhideWhenUsed/>
    <w:qFormat/>
    <w:rsid w:val="00B64A52"/>
    <w:pPr>
      <w:keepLines/>
      <w:numPr>
        <w:numId w:val="0"/>
      </w:numPr>
      <w:spacing w:before="480" w:after="0" w:line="276" w:lineRule="auto"/>
      <w:jc w:val="left"/>
      <w:outlineLvl w:val="9"/>
    </w:pPr>
    <w:rPr>
      <w:rFonts w:ascii="Cambria" w:eastAsia="MS Gothic" w:hAnsi="Cambria"/>
      <w:bCs/>
      <w:smallCaps w:val="0"/>
      <w:color w:val="365F91"/>
      <w:sz w:val="28"/>
      <w:szCs w:val="28"/>
      <w:lang w:eastAsia="ja-JP"/>
    </w:rPr>
  </w:style>
  <w:style w:type="paragraph" w:styleId="TOC1">
    <w:name w:val="toc 1"/>
    <w:basedOn w:val="Normal"/>
    <w:next w:val="Normal"/>
    <w:autoRedefine/>
    <w:uiPriority w:val="39"/>
    <w:rsid w:val="0033169F"/>
    <w:pPr>
      <w:tabs>
        <w:tab w:val="left" w:pos="660"/>
        <w:tab w:val="right" w:leader="dot" w:pos="8942"/>
      </w:tabs>
      <w:jc w:val="both"/>
    </w:pPr>
  </w:style>
  <w:style w:type="paragraph" w:styleId="TOC2">
    <w:name w:val="toc 2"/>
    <w:basedOn w:val="Normal"/>
    <w:next w:val="Normal"/>
    <w:autoRedefine/>
    <w:uiPriority w:val="39"/>
    <w:rsid w:val="0009145D"/>
    <w:pPr>
      <w:tabs>
        <w:tab w:val="left" w:pos="660"/>
        <w:tab w:val="right" w:leader="dot" w:pos="8942"/>
      </w:tabs>
      <w:ind w:left="240"/>
      <w:jc w:val="both"/>
    </w:pPr>
  </w:style>
  <w:style w:type="paragraph" w:styleId="TOC3">
    <w:name w:val="toc 3"/>
    <w:basedOn w:val="Normal"/>
    <w:next w:val="Normal"/>
    <w:autoRedefine/>
    <w:uiPriority w:val="39"/>
    <w:rsid w:val="00B64A52"/>
    <w:pPr>
      <w:ind w:left="480"/>
    </w:pPr>
  </w:style>
  <w:style w:type="paragraph" w:customStyle="1" w:styleId="Default">
    <w:name w:val="Default"/>
    <w:rsid w:val="008C46DC"/>
    <w:pPr>
      <w:autoSpaceDE w:val="0"/>
      <w:autoSpaceDN w:val="0"/>
      <w:adjustRightInd w:val="0"/>
    </w:pPr>
    <w:rPr>
      <w:color w:val="000000"/>
      <w:sz w:val="24"/>
      <w:szCs w:val="24"/>
      <w:lang w:val="en-US" w:eastAsia="en-US"/>
    </w:rPr>
  </w:style>
  <w:style w:type="paragraph" w:customStyle="1" w:styleId="Stil1">
    <w:name w:val="Stil 1"/>
    <w:basedOn w:val="Normal"/>
    <w:qFormat/>
    <w:rsid w:val="00321C8E"/>
    <w:pPr>
      <w:numPr>
        <w:numId w:val="45"/>
      </w:numPr>
      <w:spacing w:before="60" w:after="60"/>
    </w:pPr>
    <w:rPr>
      <w:rFonts w:ascii="Trebuchet MS" w:eastAsia="Arial Unicode MS" w:hAnsi="Trebuchet MS" w:cs="Arial"/>
      <w:b/>
      <w:bCs/>
      <w:sz w:val="20"/>
      <w:lang w:val="hr-HR" w:eastAsia="hr-HR"/>
    </w:rPr>
  </w:style>
  <w:style w:type="character" w:customStyle="1" w:styleId="Heading1Char">
    <w:name w:val="Heading 1 Char"/>
    <w:basedOn w:val="DefaultParagraphFont"/>
    <w:link w:val="Heading1"/>
    <w:rsid w:val="00E52588"/>
    <w:rPr>
      <w:rFonts w:ascii="Times Cirilica" w:hAnsi="Times Cirilica"/>
      <w:b/>
      <w:smallCaps/>
      <w:sz w:val="3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9007486">
      <w:bodyDiv w:val="1"/>
      <w:marLeft w:val="0"/>
      <w:marRight w:val="0"/>
      <w:marTop w:val="0"/>
      <w:marBottom w:val="0"/>
      <w:divBdr>
        <w:top w:val="none" w:sz="0" w:space="0" w:color="auto"/>
        <w:left w:val="none" w:sz="0" w:space="0" w:color="auto"/>
        <w:bottom w:val="none" w:sz="0" w:space="0" w:color="auto"/>
        <w:right w:val="none" w:sz="0" w:space="0" w:color="auto"/>
      </w:divBdr>
    </w:div>
    <w:div w:id="244189735">
      <w:bodyDiv w:val="1"/>
      <w:marLeft w:val="0"/>
      <w:marRight w:val="0"/>
      <w:marTop w:val="0"/>
      <w:marBottom w:val="0"/>
      <w:divBdr>
        <w:top w:val="none" w:sz="0" w:space="0" w:color="auto"/>
        <w:left w:val="none" w:sz="0" w:space="0" w:color="auto"/>
        <w:bottom w:val="none" w:sz="0" w:space="0" w:color="auto"/>
        <w:right w:val="none" w:sz="0" w:space="0" w:color="auto"/>
      </w:divBdr>
    </w:div>
    <w:div w:id="295457550">
      <w:bodyDiv w:val="1"/>
      <w:marLeft w:val="0"/>
      <w:marRight w:val="0"/>
      <w:marTop w:val="0"/>
      <w:marBottom w:val="0"/>
      <w:divBdr>
        <w:top w:val="none" w:sz="0" w:space="0" w:color="auto"/>
        <w:left w:val="none" w:sz="0" w:space="0" w:color="auto"/>
        <w:bottom w:val="none" w:sz="0" w:space="0" w:color="auto"/>
        <w:right w:val="none" w:sz="0" w:space="0" w:color="auto"/>
      </w:divBdr>
    </w:div>
    <w:div w:id="301814677">
      <w:bodyDiv w:val="1"/>
      <w:marLeft w:val="0"/>
      <w:marRight w:val="0"/>
      <w:marTop w:val="0"/>
      <w:marBottom w:val="0"/>
      <w:divBdr>
        <w:top w:val="none" w:sz="0" w:space="0" w:color="auto"/>
        <w:left w:val="none" w:sz="0" w:space="0" w:color="auto"/>
        <w:bottom w:val="none" w:sz="0" w:space="0" w:color="auto"/>
        <w:right w:val="none" w:sz="0" w:space="0" w:color="auto"/>
      </w:divBdr>
    </w:div>
    <w:div w:id="358775415">
      <w:bodyDiv w:val="1"/>
      <w:marLeft w:val="0"/>
      <w:marRight w:val="0"/>
      <w:marTop w:val="0"/>
      <w:marBottom w:val="0"/>
      <w:divBdr>
        <w:top w:val="none" w:sz="0" w:space="0" w:color="auto"/>
        <w:left w:val="none" w:sz="0" w:space="0" w:color="auto"/>
        <w:bottom w:val="none" w:sz="0" w:space="0" w:color="auto"/>
        <w:right w:val="none" w:sz="0" w:space="0" w:color="auto"/>
      </w:divBdr>
    </w:div>
    <w:div w:id="416635240">
      <w:bodyDiv w:val="1"/>
      <w:marLeft w:val="0"/>
      <w:marRight w:val="0"/>
      <w:marTop w:val="0"/>
      <w:marBottom w:val="0"/>
      <w:divBdr>
        <w:top w:val="none" w:sz="0" w:space="0" w:color="auto"/>
        <w:left w:val="none" w:sz="0" w:space="0" w:color="auto"/>
        <w:bottom w:val="none" w:sz="0" w:space="0" w:color="auto"/>
        <w:right w:val="none" w:sz="0" w:space="0" w:color="auto"/>
      </w:divBdr>
    </w:div>
    <w:div w:id="474298246">
      <w:bodyDiv w:val="1"/>
      <w:marLeft w:val="0"/>
      <w:marRight w:val="0"/>
      <w:marTop w:val="0"/>
      <w:marBottom w:val="0"/>
      <w:divBdr>
        <w:top w:val="none" w:sz="0" w:space="0" w:color="auto"/>
        <w:left w:val="none" w:sz="0" w:space="0" w:color="auto"/>
        <w:bottom w:val="none" w:sz="0" w:space="0" w:color="auto"/>
        <w:right w:val="none" w:sz="0" w:space="0" w:color="auto"/>
      </w:divBdr>
    </w:div>
    <w:div w:id="552735766">
      <w:bodyDiv w:val="1"/>
      <w:marLeft w:val="0"/>
      <w:marRight w:val="0"/>
      <w:marTop w:val="0"/>
      <w:marBottom w:val="0"/>
      <w:divBdr>
        <w:top w:val="none" w:sz="0" w:space="0" w:color="auto"/>
        <w:left w:val="none" w:sz="0" w:space="0" w:color="auto"/>
        <w:bottom w:val="none" w:sz="0" w:space="0" w:color="auto"/>
        <w:right w:val="none" w:sz="0" w:space="0" w:color="auto"/>
      </w:divBdr>
    </w:div>
    <w:div w:id="556935455">
      <w:bodyDiv w:val="1"/>
      <w:marLeft w:val="0"/>
      <w:marRight w:val="0"/>
      <w:marTop w:val="0"/>
      <w:marBottom w:val="0"/>
      <w:divBdr>
        <w:top w:val="none" w:sz="0" w:space="0" w:color="auto"/>
        <w:left w:val="none" w:sz="0" w:space="0" w:color="auto"/>
        <w:bottom w:val="none" w:sz="0" w:space="0" w:color="auto"/>
        <w:right w:val="none" w:sz="0" w:space="0" w:color="auto"/>
      </w:divBdr>
    </w:div>
    <w:div w:id="626352907">
      <w:bodyDiv w:val="1"/>
      <w:marLeft w:val="0"/>
      <w:marRight w:val="0"/>
      <w:marTop w:val="0"/>
      <w:marBottom w:val="0"/>
      <w:divBdr>
        <w:top w:val="none" w:sz="0" w:space="0" w:color="auto"/>
        <w:left w:val="none" w:sz="0" w:space="0" w:color="auto"/>
        <w:bottom w:val="none" w:sz="0" w:space="0" w:color="auto"/>
        <w:right w:val="none" w:sz="0" w:space="0" w:color="auto"/>
      </w:divBdr>
    </w:div>
    <w:div w:id="640309813">
      <w:bodyDiv w:val="1"/>
      <w:marLeft w:val="0"/>
      <w:marRight w:val="0"/>
      <w:marTop w:val="0"/>
      <w:marBottom w:val="0"/>
      <w:divBdr>
        <w:top w:val="none" w:sz="0" w:space="0" w:color="auto"/>
        <w:left w:val="none" w:sz="0" w:space="0" w:color="auto"/>
        <w:bottom w:val="none" w:sz="0" w:space="0" w:color="auto"/>
        <w:right w:val="none" w:sz="0" w:space="0" w:color="auto"/>
      </w:divBdr>
    </w:div>
    <w:div w:id="662704246">
      <w:bodyDiv w:val="1"/>
      <w:marLeft w:val="0"/>
      <w:marRight w:val="0"/>
      <w:marTop w:val="0"/>
      <w:marBottom w:val="0"/>
      <w:divBdr>
        <w:top w:val="none" w:sz="0" w:space="0" w:color="auto"/>
        <w:left w:val="none" w:sz="0" w:space="0" w:color="auto"/>
        <w:bottom w:val="none" w:sz="0" w:space="0" w:color="auto"/>
        <w:right w:val="none" w:sz="0" w:space="0" w:color="auto"/>
      </w:divBdr>
    </w:div>
    <w:div w:id="845556983">
      <w:bodyDiv w:val="1"/>
      <w:marLeft w:val="0"/>
      <w:marRight w:val="0"/>
      <w:marTop w:val="0"/>
      <w:marBottom w:val="0"/>
      <w:divBdr>
        <w:top w:val="none" w:sz="0" w:space="0" w:color="auto"/>
        <w:left w:val="none" w:sz="0" w:space="0" w:color="auto"/>
        <w:bottom w:val="none" w:sz="0" w:space="0" w:color="auto"/>
        <w:right w:val="none" w:sz="0" w:space="0" w:color="auto"/>
      </w:divBdr>
    </w:div>
    <w:div w:id="858540596">
      <w:bodyDiv w:val="1"/>
      <w:marLeft w:val="0"/>
      <w:marRight w:val="0"/>
      <w:marTop w:val="0"/>
      <w:marBottom w:val="0"/>
      <w:divBdr>
        <w:top w:val="none" w:sz="0" w:space="0" w:color="auto"/>
        <w:left w:val="none" w:sz="0" w:space="0" w:color="auto"/>
        <w:bottom w:val="none" w:sz="0" w:space="0" w:color="auto"/>
        <w:right w:val="none" w:sz="0" w:space="0" w:color="auto"/>
      </w:divBdr>
    </w:div>
    <w:div w:id="918565216">
      <w:bodyDiv w:val="1"/>
      <w:marLeft w:val="0"/>
      <w:marRight w:val="0"/>
      <w:marTop w:val="0"/>
      <w:marBottom w:val="0"/>
      <w:divBdr>
        <w:top w:val="none" w:sz="0" w:space="0" w:color="auto"/>
        <w:left w:val="none" w:sz="0" w:space="0" w:color="auto"/>
        <w:bottom w:val="none" w:sz="0" w:space="0" w:color="auto"/>
        <w:right w:val="none" w:sz="0" w:space="0" w:color="auto"/>
      </w:divBdr>
    </w:div>
    <w:div w:id="935405446">
      <w:bodyDiv w:val="1"/>
      <w:marLeft w:val="0"/>
      <w:marRight w:val="0"/>
      <w:marTop w:val="0"/>
      <w:marBottom w:val="0"/>
      <w:divBdr>
        <w:top w:val="none" w:sz="0" w:space="0" w:color="auto"/>
        <w:left w:val="none" w:sz="0" w:space="0" w:color="auto"/>
        <w:bottom w:val="none" w:sz="0" w:space="0" w:color="auto"/>
        <w:right w:val="none" w:sz="0" w:space="0" w:color="auto"/>
      </w:divBdr>
    </w:div>
    <w:div w:id="966203338">
      <w:bodyDiv w:val="1"/>
      <w:marLeft w:val="0"/>
      <w:marRight w:val="0"/>
      <w:marTop w:val="0"/>
      <w:marBottom w:val="0"/>
      <w:divBdr>
        <w:top w:val="none" w:sz="0" w:space="0" w:color="auto"/>
        <w:left w:val="none" w:sz="0" w:space="0" w:color="auto"/>
        <w:bottom w:val="none" w:sz="0" w:space="0" w:color="auto"/>
        <w:right w:val="none" w:sz="0" w:space="0" w:color="auto"/>
      </w:divBdr>
    </w:div>
    <w:div w:id="1044789679">
      <w:bodyDiv w:val="1"/>
      <w:marLeft w:val="0"/>
      <w:marRight w:val="0"/>
      <w:marTop w:val="0"/>
      <w:marBottom w:val="0"/>
      <w:divBdr>
        <w:top w:val="none" w:sz="0" w:space="0" w:color="auto"/>
        <w:left w:val="none" w:sz="0" w:space="0" w:color="auto"/>
        <w:bottom w:val="none" w:sz="0" w:space="0" w:color="auto"/>
        <w:right w:val="none" w:sz="0" w:space="0" w:color="auto"/>
      </w:divBdr>
    </w:div>
    <w:div w:id="1118178776">
      <w:bodyDiv w:val="1"/>
      <w:marLeft w:val="0"/>
      <w:marRight w:val="0"/>
      <w:marTop w:val="0"/>
      <w:marBottom w:val="0"/>
      <w:divBdr>
        <w:top w:val="none" w:sz="0" w:space="0" w:color="auto"/>
        <w:left w:val="none" w:sz="0" w:space="0" w:color="auto"/>
        <w:bottom w:val="none" w:sz="0" w:space="0" w:color="auto"/>
        <w:right w:val="none" w:sz="0" w:space="0" w:color="auto"/>
      </w:divBdr>
    </w:div>
    <w:div w:id="1154640612">
      <w:bodyDiv w:val="1"/>
      <w:marLeft w:val="0"/>
      <w:marRight w:val="0"/>
      <w:marTop w:val="0"/>
      <w:marBottom w:val="0"/>
      <w:divBdr>
        <w:top w:val="none" w:sz="0" w:space="0" w:color="auto"/>
        <w:left w:val="none" w:sz="0" w:space="0" w:color="auto"/>
        <w:bottom w:val="none" w:sz="0" w:space="0" w:color="auto"/>
        <w:right w:val="none" w:sz="0" w:space="0" w:color="auto"/>
      </w:divBdr>
    </w:div>
    <w:div w:id="1210386285">
      <w:bodyDiv w:val="1"/>
      <w:marLeft w:val="0"/>
      <w:marRight w:val="0"/>
      <w:marTop w:val="0"/>
      <w:marBottom w:val="0"/>
      <w:divBdr>
        <w:top w:val="none" w:sz="0" w:space="0" w:color="auto"/>
        <w:left w:val="none" w:sz="0" w:space="0" w:color="auto"/>
        <w:bottom w:val="none" w:sz="0" w:space="0" w:color="auto"/>
        <w:right w:val="none" w:sz="0" w:space="0" w:color="auto"/>
      </w:divBdr>
    </w:div>
    <w:div w:id="1283071141">
      <w:bodyDiv w:val="1"/>
      <w:marLeft w:val="0"/>
      <w:marRight w:val="0"/>
      <w:marTop w:val="0"/>
      <w:marBottom w:val="0"/>
      <w:divBdr>
        <w:top w:val="none" w:sz="0" w:space="0" w:color="auto"/>
        <w:left w:val="none" w:sz="0" w:space="0" w:color="auto"/>
        <w:bottom w:val="none" w:sz="0" w:space="0" w:color="auto"/>
        <w:right w:val="none" w:sz="0" w:space="0" w:color="auto"/>
      </w:divBdr>
    </w:div>
    <w:div w:id="1289161405">
      <w:bodyDiv w:val="1"/>
      <w:marLeft w:val="0"/>
      <w:marRight w:val="0"/>
      <w:marTop w:val="0"/>
      <w:marBottom w:val="0"/>
      <w:divBdr>
        <w:top w:val="none" w:sz="0" w:space="0" w:color="auto"/>
        <w:left w:val="none" w:sz="0" w:space="0" w:color="auto"/>
        <w:bottom w:val="none" w:sz="0" w:space="0" w:color="auto"/>
        <w:right w:val="none" w:sz="0" w:space="0" w:color="auto"/>
      </w:divBdr>
    </w:div>
    <w:div w:id="1312783890">
      <w:bodyDiv w:val="1"/>
      <w:marLeft w:val="0"/>
      <w:marRight w:val="0"/>
      <w:marTop w:val="0"/>
      <w:marBottom w:val="0"/>
      <w:divBdr>
        <w:top w:val="none" w:sz="0" w:space="0" w:color="auto"/>
        <w:left w:val="none" w:sz="0" w:space="0" w:color="auto"/>
        <w:bottom w:val="none" w:sz="0" w:space="0" w:color="auto"/>
        <w:right w:val="none" w:sz="0" w:space="0" w:color="auto"/>
      </w:divBdr>
    </w:div>
    <w:div w:id="1370302089">
      <w:bodyDiv w:val="1"/>
      <w:marLeft w:val="0"/>
      <w:marRight w:val="0"/>
      <w:marTop w:val="0"/>
      <w:marBottom w:val="0"/>
      <w:divBdr>
        <w:top w:val="none" w:sz="0" w:space="0" w:color="auto"/>
        <w:left w:val="none" w:sz="0" w:space="0" w:color="auto"/>
        <w:bottom w:val="none" w:sz="0" w:space="0" w:color="auto"/>
        <w:right w:val="none" w:sz="0" w:space="0" w:color="auto"/>
      </w:divBdr>
    </w:div>
    <w:div w:id="1466582212">
      <w:bodyDiv w:val="1"/>
      <w:marLeft w:val="0"/>
      <w:marRight w:val="0"/>
      <w:marTop w:val="0"/>
      <w:marBottom w:val="0"/>
      <w:divBdr>
        <w:top w:val="none" w:sz="0" w:space="0" w:color="auto"/>
        <w:left w:val="none" w:sz="0" w:space="0" w:color="auto"/>
        <w:bottom w:val="none" w:sz="0" w:space="0" w:color="auto"/>
        <w:right w:val="none" w:sz="0" w:space="0" w:color="auto"/>
      </w:divBdr>
    </w:div>
    <w:div w:id="1543321524">
      <w:bodyDiv w:val="1"/>
      <w:marLeft w:val="0"/>
      <w:marRight w:val="0"/>
      <w:marTop w:val="0"/>
      <w:marBottom w:val="0"/>
      <w:divBdr>
        <w:top w:val="none" w:sz="0" w:space="0" w:color="auto"/>
        <w:left w:val="none" w:sz="0" w:space="0" w:color="auto"/>
        <w:bottom w:val="none" w:sz="0" w:space="0" w:color="auto"/>
        <w:right w:val="none" w:sz="0" w:space="0" w:color="auto"/>
      </w:divBdr>
    </w:div>
    <w:div w:id="1554657542">
      <w:bodyDiv w:val="1"/>
      <w:marLeft w:val="0"/>
      <w:marRight w:val="0"/>
      <w:marTop w:val="0"/>
      <w:marBottom w:val="0"/>
      <w:divBdr>
        <w:top w:val="none" w:sz="0" w:space="0" w:color="auto"/>
        <w:left w:val="none" w:sz="0" w:space="0" w:color="auto"/>
        <w:bottom w:val="none" w:sz="0" w:space="0" w:color="auto"/>
        <w:right w:val="none" w:sz="0" w:space="0" w:color="auto"/>
      </w:divBdr>
    </w:div>
    <w:div w:id="1587349626">
      <w:bodyDiv w:val="1"/>
      <w:marLeft w:val="0"/>
      <w:marRight w:val="0"/>
      <w:marTop w:val="0"/>
      <w:marBottom w:val="0"/>
      <w:divBdr>
        <w:top w:val="none" w:sz="0" w:space="0" w:color="auto"/>
        <w:left w:val="none" w:sz="0" w:space="0" w:color="auto"/>
        <w:bottom w:val="none" w:sz="0" w:space="0" w:color="auto"/>
        <w:right w:val="none" w:sz="0" w:space="0" w:color="auto"/>
      </w:divBdr>
    </w:div>
    <w:div w:id="1634483312">
      <w:bodyDiv w:val="1"/>
      <w:marLeft w:val="0"/>
      <w:marRight w:val="0"/>
      <w:marTop w:val="0"/>
      <w:marBottom w:val="0"/>
      <w:divBdr>
        <w:top w:val="none" w:sz="0" w:space="0" w:color="auto"/>
        <w:left w:val="none" w:sz="0" w:space="0" w:color="auto"/>
        <w:bottom w:val="none" w:sz="0" w:space="0" w:color="auto"/>
        <w:right w:val="none" w:sz="0" w:space="0" w:color="auto"/>
      </w:divBdr>
    </w:div>
    <w:div w:id="1711369906">
      <w:bodyDiv w:val="1"/>
      <w:marLeft w:val="0"/>
      <w:marRight w:val="0"/>
      <w:marTop w:val="0"/>
      <w:marBottom w:val="0"/>
      <w:divBdr>
        <w:top w:val="none" w:sz="0" w:space="0" w:color="auto"/>
        <w:left w:val="none" w:sz="0" w:space="0" w:color="auto"/>
        <w:bottom w:val="none" w:sz="0" w:space="0" w:color="auto"/>
        <w:right w:val="none" w:sz="0" w:space="0" w:color="auto"/>
      </w:divBdr>
    </w:div>
    <w:div w:id="1741828756">
      <w:bodyDiv w:val="1"/>
      <w:marLeft w:val="0"/>
      <w:marRight w:val="0"/>
      <w:marTop w:val="0"/>
      <w:marBottom w:val="0"/>
      <w:divBdr>
        <w:top w:val="none" w:sz="0" w:space="0" w:color="auto"/>
        <w:left w:val="none" w:sz="0" w:space="0" w:color="auto"/>
        <w:bottom w:val="none" w:sz="0" w:space="0" w:color="auto"/>
        <w:right w:val="none" w:sz="0" w:space="0" w:color="auto"/>
      </w:divBdr>
    </w:div>
    <w:div w:id="1785617389">
      <w:bodyDiv w:val="1"/>
      <w:marLeft w:val="0"/>
      <w:marRight w:val="0"/>
      <w:marTop w:val="0"/>
      <w:marBottom w:val="0"/>
      <w:divBdr>
        <w:top w:val="none" w:sz="0" w:space="0" w:color="auto"/>
        <w:left w:val="none" w:sz="0" w:space="0" w:color="auto"/>
        <w:bottom w:val="none" w:sz="0" w:space="0" w:color="auto"/>
        <w:right w:val="none" w:sz="0" w:space="0" w:color="auto"/>
      </w:divBdr>
    </w:div>
    <w:div w:id="1970276717">
      <w:bodyDiv w:val="1"/>
      <w:marLeft w:val="0"/>
      <w:marRight w:val="0"/>
      <w:marTop w:val="0"/>
      <w:marBottom w:val="0"/>
      <w:divBdr>
        <w:top w:val="none" w:sz="0" w:space="0" w:color="auto"/>
        <w:left w:val="none" w:sz="0" w:space="0" w:color="auto"/>
        <w:bottom w:val="none" w:sz="0" w:space="0" w:color="auto"/>
        <w:right w:val="none" w:sz="0" w:space="0" w:color="auto"/>
      </w:divBdr>
    </w:div>
    <w:div w:id="2118677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E375B5-212B-44E0-9261-475716F54E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362</TotalTime>
  <Pages>25</Pages>
  <Words>7151</Words>
  <Characters>46669</Characters>
  <Application>Microsoft Office Word</Application>
  <DocSecurity>0</DocSecurity>
  <Lines>388</Lines>
  <Paragraphs>107</Paragraphs>
  <ScaleCrop>false</ScaleCrop>
  <HeadingPairs>
    <vt:vector size="2" baseType="variant">
      <vt:variant>
        <vt:lpstr>Title</vt:lpstr>
      </vt:variant>
      <vt:variant>
        <vt:i4>1</vt:i4>
      </vt:variant>
    </vt:vector>
  </HeadingPairs>
  <TitlesOfParts>
    <vt:vector size="1" baseType="lpstr">
      <vt:lpstr>Napomene</vt:lpstr>
    </vt:vector>
  </TitlesOfParts>
  <Company>Hewlett-Packard Company</Company>
  <LinksUpToDate>false</LinksUpToDate>
  <CharactersWithSpaces>53713</CharactersWithSpaces>
  <SharedDoc>false</SharedDoc>
  <HLinks>
    <vt:vector size="234" baseType="variant">
      <vt:variant>
        <vt:i4>1376319</vt:i4>
      </vt:variant>
      <vt:variant>
        <vt:i4>230</vt:i4>
      </vt:variant>
      <vt:variant>
        <vt:i4>0</vt:i4>
      </vt:variant>
      <vt:variant>
        <vt:i4>5</vt:i4>
      </vt:variant>
      <vt:variant>
        <vt:lpwstr/>
      </vt:variant>
      <vt:variant>
        <vt:lpwstr>_Toc506796531</vt:lpwstr>
      </vt:variant>
      <vt:variant>
        <vt:i4>1376319</vt:i4>
      </vt:variant>
      <vt:variant>
        <vt:i4>224</vt:i4>
      </vt:variant>
      <vt:variant>
        <vt:i4>0</vt:i4>
      </vt:variant>
      <vt:variant>
        <vt:i4>5</vt:i4>
      </vt:variant>
      <vt:variant>
        <vt:lpwstr/>
      </vt:variant>
      <vt:variant>
        <vt:lpwstr>_Toc506796530</vt:lpwstr>
      </vt:variant>
      <vt:variant>
        <vt:i4>1310783</vt:i4>
      </vt:variant>
      <vt:variant>
        <vt:i4>218</vt:i4>
      </vt:variant>
      <vt:variant>
        <vt:i4>0</vt:i4>
      </vt:variant>
      <vt:variant>
        <vt:i4>5</vt:i4>
      </vt:variant>
      <vt:variant>
        <vt:lpwstr/>
      </vt:variant>
      <vt:variant>
        <vt:lpwstr>_Toc506796529</vt:lpwstr>
      </vt:variant>
      <vt:variant>
        <vt:i4>1310783</vt:i4>
      </vt:variant>
      <vt:variant>
        <vt:i4>212</vt:i4>
      </vt:variant>
      <vt:variant>
        <vt:i4>0</vt:i4>
      </vt:variant>
      <vt:variant>
        <vt:i4>5</vt:i4>
      </vt:variant>
      <vt:variant>
        <vt:lpwstr/>
      </vt:variant>
      <vt:variant>
        <vt:lpwstr>_Toc506796528</vt:lpwstr>
      </vt:variant>
      <vt:variant>
        <vt:i4>1310783</vt:i4>
      </vt:variant>
      <vt:variant>
        <vt:i4>206</vt:i4>
      </vt:variant>
      <vt:variant>
        <vt:i4>0</vt:i4>
      </vt:variant>
      <vt:variant>
        <vt:i4>5</vt:i4>
      </vt:variant>
      <vt:variant>
        <vt:lpwstr/>
      </vt:variant>
      <vt:variant>
        <vt:lpwstr>_Toc506796527</vt:lpwstr>
      </vt:variant>
      <vt:variant>
        <vt:i4>1310783</vt:i4>
      </vt:variant>
      <vt:variant>
        <vt:i4>200</vt:i4>
      </vt:variant>
      <vt:variant>
        <vt:i4>0</vt:i4>
      </vt:variant>
      <vt:variant>
        <vt:i4>5</vt:i4>
      </vt:variant>
      <vt:variant>
        <vt:lpwstr/>
      </vt:variant>
      <vt:variant>
        <vt:lpwstr>_Toc506796526</vt:lpwstr>
      </vt:variant>
      <vt:variant>
        <vt:i4>1310783</vt:i4>
      </vt:variant>
      <vt:variant>
        <vt:i4>194</vt:i4>
      </vt:variant>
      <vt:variant>
        <vt:i4>0</vt:i4>
      </vt:variant>
      <vt:variant>
        <vt:i4>5</vt:i4>
      </vt:variant>
      <vt:variant>
        <vt:lpwstr/>
      </vt:variant>
      <vt:variant>
        <vt:lpwstr>_Toc506796525</vt:lpwstr>
      </vt:variant>
      <vt:variant>
        <vt:i4>1310783</vt:i4>
      </vt:variant>
      <vt:variant>
        <vt:i4>188</vt:i4>
      </vt:variant>
      <vt:variant>
        <vt:i4>0</vt:i4>
      </vt:variant>
      <vt:variant>
        <vt:i4>5</vt:i4>
      </vt:variant>
      <vt:variant>
        <vt:lpwstr/>
      </vt:variant>
      <vt:variant>
        <vt:lpwstr>_Toc506796524</vt:lpwstr>
      </vt:variant>
      <vt:variant>
        <vt:i4>1310783</vt:i4>
      </vt:variant>
      <vt:variant>
        <vt:i4>182</vt:i4>
      </vt:variant>
      <vt:variant>
        <vt:i4>0</vt:i4>
      </vt:variant>
      <vt:variant>
        <vt:i4>5</vt:i4>
      </vt:variant>
      <vt:variant>
        <vt:lpwstr/>
      </vt:variant>
      <vt:variant>
        <vt:lpwstr>_Toc506796523</vt:lpwstr>
      </vt:variant>
      <vt:variant>
        <vt:i4>1310783</vt:i4>
      </vt:variant>
      <vt:variant>
        <vt:i4>176</vt:i4>
      </vt:variant>
      <vt:variant>
        <vt:i4>0</vt:i4>
      </vt:variant>
      <vt:variant>
        <vt:i4>5</vt:i4>
      </vt:variant>
      <vt:variant>
        <vt:lpwstr/>
      </vt:variant>
      <vt:variant>
        <vt:lpwstr>_Toc506796522</vt:lpwstr>
      </vt:variant>
      <vt:variant>
        <vt:i4>1310783</vt:i4>
      </vt:variant>
      <vt:variant>
        <vt:i4>170</vt:i4>
      </vt:variant>
      <vt:variant>
        <vt:i4>0</vt:i4>
      </vt:variant>
      <vt:variant>
        <vt:i4>5</vt:i4>
      </vt:variant>
      <vt:variant>
        <vt:lpwstr/>
      </vt:variant>
      <vt:variant>
        <vt:lpwstr>_Toc506796521</vt:lpwstr>
      </vt:variant>
      <vt:variant>
        <vt:i4>1310783</vt:i4>
      </vt:variant>
      <vt:variant>
        <vt:i4>164</vt:i4>
      </vt:variant>
      <vt:variant>
        <vt:i4>0</vt:i4>
      </vt:variant>
      <vt:variant>
        <vt:i4>5</vt:i4>
      </vt:variant>
      <vt:variant>
        <vt:lpwstr/>
      </vt:variant>
      <vt:variant>
        <vt:lpwstr>_Toc506796520</vt:lpwstr>
      </vt:variant>
      <vt:variant>
        <vt:i4>1507391</vt:i4>
      </vt:variant>
      <vt:variant>
        <vt:i4>158</vt:i4>
      </vt:variant>
      <vt:variant>
        <vt:i4>0</vt:i4>
      </vt:variant>
      <vt:variant>
        <vt:i4>5</vt:i4>
      </vt:variant>
      <vt:variant>
        <vt:lpwstr/>
      </vt:variant>
      <vt:variant>
        <vt:lpwstr>_Toc506796519</vt:lpwstr>
      </vt:variant>
      <vt:variant>
        <vt:i4>1507391</vt:i4>
      </vt:variant>
      <vt:variant>
        <vt:i4>152</vt:i4>
      </vt:variant>
      <vt:variant>
        <vt:i4>0</vt:i4>
      </vt:variant>
      <vt:variant>
        <vt:i4>5</vt:i4>
      </vt:variant>
      <vt:variant>
        <vt:lpwstr/>
      </vt:variant>
      <vt:variant>
        <vt:lpwstr>_Toc506796518</vt:lpwstr>
      </vt:variant>
      <vt:variant>
        <vt:i4>1507391</vt:i4>
      </vt:variant>
      <vt:variant>
        <vt:i4>146</vt:i4>
      </vt:variant>
      <vt:variant>
        <vt:i4>0</vt:i4>
      </vt:variant>
      <vt:variant>
        <vt:i4>5</vt:i4>
      </vt:variant>
      <vt:variant>
        <vt:lpwstr/>
      </vt:variant>
      <vt:variant>
        <vt:lpwstr>_Toc506796517</vt:lpwstr>
      </vt:variant>
      <vt:variant>
        <vt:i4>1507391</vt:i4>
      </vt:variant>
      <vt:variant>
        <vt:i4>140</vt:i4>
      </vt:variant>
      <vt:variant>
        <vt:i4>0</vt:i4>
      </vt:variant>
      <vt:variant>
        <vt:i4>5</vt:i4>
      </vt:variant>
      <vt:variant>
        <vt:lpwstr/>
      </vt:variant>
      <vt:variant>
        <vt:lpwstr>_Toc506796516</vt:lpwstr>
      </vt:variant>
      <vt:variant>
        <vt:i4>1507391</vt:i4>
      </vt:variant>
      <vt:variant>
        <vt:i4>134</vt:i4>
      </vt:variant>
      <vt:variant>
        <vt:i4>0</vt:i4>
      </vt:variant>
      <vt:variant>
        <vt:i4>5</vt:i4>
      </vt:variant>
      <vt:variant>
        <vt:lpwstr/>
      </vt:variant>
      <vt:variant>
        <vt:lpwstr>_Toc506796515</vt:lpwstr>
      </vt:variant>
      <vt:variant>
        <vt:i4>1507391</vt:i4>
      </vt:variant>
      <vt:variant>
        <vt:i4>128</vt:i4>
      </vt:variant>
      <vt:variant>
        <vt:i4>0</vt:i4>
      </vt:variant>
      <vt:variant>
        <vt:i4>5</vt:i4>
      </vt:variant>
      <vt:variant>
        <vt:lpwstr/>
      </vt:variant>
      <vt:variant>
        <vt:lpwstr>_Toc506796514</vt:lpwstr>
      </vt:variant>
      <vt:variant>
        <vt:i4>1507391</vt:i4>
      </vt:variant>
      <vt:variant>
        <vt:i4>122</vt:i4>
      </vt:variant>
      <vt:variant>
        <vt:i4>0</vt:i4>
      </vt:variant>
      <vt:variant>
        <vt:i4>5</vt:i4>
      </vt:variant>
      <vt:variant>
        <vt:lpwstr/>
      </vt:variant>
      <vt:variant>
        <vt:lpwstr>_Toc506796513</vt:lpwstr>
      </vt:variant>
      <vt:variant>
        <vt:i4>1507391</vt:i4>
      </vt:variant>
      <vt:variant>
        <vt:i4>116</vt:i4>
      </vt:variant>
      <vt:variant>
        <vt:i4>0</vt:i4>
      </vt:variant>
      <vt:variant>
        <vt:i4>5</vt:i4>
      </vt:variant>
      <vt:variant>
        <vt:lpwstr/>
      </vt:variant>
      <vt:variant>
        <vt:lpwstr>_Toc506796512</vt:lpwstr>
      </vt:variant>
      <vt:variant>
        <vt:i4>1507391</vt:i4>
      </vt:variant>
      <vt:variant>
        <vt:i4>110</vt:i4>
      </vt:variant>
      <vt:variant>
        <vt:i4>0</vt:i4>
      </vt:variant>
      <vt:variant>
        <vt:i4>5</vt:i4>
      </vt:variant>
      <vt:variant>
        <vt:lpwstr/>
      </vt:variant>
      <vt:variant>
        <vt:lpwstr>_Toc506796511</vt:lpwstr>
      </vt:variant>
      <vt:variant>
        <vt:i4>1507391</vt:i4>
      </vt:variant>
      <vt:variant>
        <vt:i4>104</vt:i4>
      </vt:variant>
      <vt:variant>
        <vt:i4>0</vt:i4>
      </vt:variant>
      <vt:variant>
        <vt:i4>5</vt:i4>
      </vt:variant>
      <vt:variant>
        <vt:lpwstr/>
      </vt:variant>
      <vt:variant>
        <vt:lpwstr>_Toc506796510</vt:lpwstr>
      </vt:variant>
      <vt:variant>
        <vt:i4>1441855</vt:i4>
      </vt:variant>
      <vt:variant>
        <vt:i4>98</vt:i4>
      </vt:variant>
      <vt:variant>
        <vt:i4>0</vt:i4>
      </vt:variant>
      <vt:variant>
        <vt:i4>5</vt:i4>
      </vt:variant>
      <vt:variant>
        <vt:lpwstr/>
      </vt:variant>
      <vt:variant>
        <vt:lpwstr>_Toc506796509</vt:lpwstr>
      </vt:variant>
      <vt:variant>
        <vt:i4>1441855</vt:i4>
      </vt:variant>
      <vt:variant>
        <vt:i4>92</vt:i4>
      </vt:variant>
      <vt:variant>
        <vt:i4>0</vt:i4>
      </vt:variant>
      <vt:variant>
        <vt:i4>5</vt:i4>
      </vt:variant>
      <vt:variant>
        <vt:lpwstr/>
      </vt:variant>
      <vt:variant>
        <vt:lpwstr>_Toc506796508</vt:lpwstr>
      </vt:variant>
      <vt:variant>
        <vt:i4>1441855</vt:i4>
      </vt:variant>
      <vt:variant>
        <vt:i4>86</vt:i4>
      </vt:variant>
      <vt:variant>
        <vt:i4>0</vt:i4>
      </vt:variant>
      <vt:variant>
        <vt:i4>5</vt:i4>
      </vt:variant>
      <vt:variant>
        <vt:lpwstr/>
      </vt:variant>
      <vt:variant>
        <vt:lpwstr>_Toc506796507</vt:lpwstr>
      </vt:variant>
      <vt:variant>
        <vt:i4>1441855</vt:i4>
      </vt:variant>
      <vt:variant>
        <vt:i4>80</vt:i4>
      </vt:variant>
      <vt:variant>
        <vt:i4>0</vt:i4>
      </vt:variant>
      <vt:variant>
        <vt:i4>5</vt:i4>
      </vt:variant>
      <vt:variant>
        <vt:lpwstr/>
      </vt:variant>
      <vt:variant>
        <vt:lpwstr>_Toc506796506</vt:lpwstr>
      </vt:variant>
      <vt:variant>
        <vt:i4>1441855</vt:i4>
      </vt:variant>
      <vt:variant>
        <vt:i4>74</vt:i4>
      </vt:variant>
      <vt:variant>
        <vt:i4>0</vt:i4>
      </vt:variant>
      <vt:variant>
        <vt:i4>5</vt:i4>
      </vt:variant>
      <vt:variant>
        <vt:lpwstr/>
      </vt:variant>
      <vt:variant>
        <vt:lpwstr>_Toc506796505</vt:lpwstr>
      </vt:variant>
      <vt:variant>
        <vt:i4>1441855</vt:i4>
      </vt:variant>
      <vt:variant>
        <vt:i4>68</vt:i4>
      </vt:variant>
      <vt:variant>
        <vt:i4>0</vt:i4>
      </vt:variant>
      <vt:variant>
        <vt:i4>5</vt:i4>
      </vt:variant>
      <vt:variant>
        <vt:lpwstr/>
      </vt:variant>
      <vt:variant>
        <vt:lpwstr>_Toc506796504</vt:lpwstr>
      </vt:variant>
      <vt:variant>
        <vt:i4>1441855</vt:i4>
      </vt:variant>
      <vt:variant>
        <vt:i4>62</vt:i4>
      </vt:variant>
      <vt:variant>
        <vt:i4>0</vt:i4>
      </vt:variant>
      <vt:variant>
        <vt:i4>5</vt:i4>
      </vt:variant>
      <vt:variant>
        <vt:lpwstr/>
      </vt:variant>
      <vt:variant>
        <vt:lpwstr>_Toc506796503</vt:lpwstr>
      </vt:variant>
      <vt:variant>
        <vt:i4>1441855</vt:i4>
      </vt:variant>
      <vt:variant>
        <vt:i4>56</vt:i4>
      </vt:variant>
      <vt:variant>
        <vt:i4>0</vt:i4>
      </vt:variant>
      <vt:variant>
        <vt:i4>5</vt:i4>
      </vt:variant>
      <vt:variant>
        <vt:lpwstr/>
      </vt:variant>
      <vt:variant>
        <vt:lpwstr>_Toc506796502</vt:lpwstr>
      </vt:variant>
      <vt:variant>
        <vt:i4>1441855</vt:i4>
      </vt:variant>
      <vt:variant>
        <vt:i4>50</vt:i4>
      </vt:variant>
      <vt:variant>
        <vt:i4>0</vt:i4>
      </vt:variant>
      <vt:variant>
        <vt:i4>5</vt:i4>
      </vt:variant>
      <vt:variant>
        <vt:lpwstr/>
      </vt:variant>
      <vt:variant>
        <vt:lpwstr>_Toc506796501</vt:lpwstr>
      </vt:variant>
      <vt:variant>
        <vt:i4>1441855</vt:i4>
      </vt:variant>
      <vt:variant>
        <vt:i4>44</vt:i4>
      </vt:variant>
      <vt:variant>
        <vt:i4>0</vt:i4>
      </vt:variant>
      <vt:variant>
        <vt:i4>5</vt:i4>
      </vt:variant>
      <vt:variant>
        <vt:lpwstr/>
      </vt:variant>
      <vt:variant>
        <vt:lpwstr>_Toc506796500</vt:lpwstr>
      </vt:variant>
      <vt:variant>
        <vt:i4>2031678</vt:i4>
      </vt:variant>
      <vt:variant>
        <vt:i4>38</vt:i4>
      </vt:variant>
      <vt:variant>
        <vt:i4>0</vt:i4>
      </vt:variant>
      <vt:variant>
        <vt:i4>5</vt:i4>
      </vt:variant>
      <vt:variant>
        <vt:lpwstr/>
      </vt:variant>
      <vt:variant>
        <vt:lpwstr>_Toc506796499</vt:lpwstr>
      </vt:variant>
      <vt:variant>
        <vt:i4>2031678</vt:i4>
      </vt:variant>
      <vt:variant>
        <vt:i4>32</vt:i4>
      </vt:variant>
      <vt:variant>
        <vt:i4>0</vt:i4>
      </vt:variant>
      <vt:variant>
        <vt:i4>5</vt:i4>
      </vt:variant>
      <vt:variant>
        <vt:lpwstr/>
      </vt:variant>
      <vt:variant>
        <vt:lpwstr>_Toc506796498</vt:lpwstr>
      </vt:variant>
      <vt:variant>
        <vt:i4>2031678</vt:i4>
      </vt:variant>
      <vt:variant>
        <vt:i4>26</vt:i4>
      </vt:variant>
      <vt:variant>
        <vt:i4>0</vt:i4>
      </vt:variant>
      <vt:variant>
        <vt:i4>5</vt:i4>
      </vt:variant>
      <vt:variant>
        <vt:lpwstr/>
      </vt:variant>
      <vt:variant>
        <vt:lpwstr>_Toc506796497</vt:lpwstr>
      </vt:variant>
      <vt:variant>
        <vt:i4>2031678</vt:i4>
      </vt:variant>
      <vt:variant>
        <vt:i4>20</vt:i4>
      </vt:variant>
      <vt:variant>
        <vt:i4>0</vt:i4>
      </vt:variant>
      <vt:variant>
        <vt:i4>5</vt:i4>
      </vt:variant>
      <vt:variant>
        <vt:lpwstr/>
      </vt:variant>
      <vt:variant>
        <vt:lpwstr>_Toc506796496</vt:lpwstr>
      </vt:variant>
      <vt:variant>
        <vt:i4>2031678</vt:i4>
      </vt:variant>
      <vt:variant>
        <vt:i4>14</vt:i4>
      </vt:variant>
      <vt:variant>
        <vt:i4>0</vt:i4>
      </vt:variant>
      <vt:variant>
        <vt:i4>5</vt:i4>
      </vt:variant>
      <vt:variant>
        <vt:lpwstr/>
      </vt:variant>
      <vt:variant>
        <vt:lpwstr>_Toc506796495</vt:lpwstr>
      </vt:variant>
      <vt:variant>
        <vt:i4>2031678</vt:i4>
      </vt:variant>
      <vt:variant>
        <vt:i4>8</vt:i4>
      </vt:variant>
      <vt:variant>
        <vt:i4>0</vt:i4>
      </vt:variant>
      <vt:variant>
        <vt:i4>5</vt:i4>
      </vt:variant>
      <vt:variant>
        <vt:lpwstr/>
      </vt:variant>
      <vt:variant>
        <vt:lpwstr>_Toc506796494</vt:lpwstr>
      </vt:variant>
      <vt:variant>
        <vt:i4>2031678</vt:i4>
      </vt:variant>
      <vt:variant>
        <vt:i4>2</vt:i4>
      </vt:variant>
      <vt:variant>
        <vt:i4>0</vt:i4>
      </vt:variant>
      <vt:variant>
        <vt:i4>5</vt:i4>
      </vt:variant>
      <vt:variant>
        <vt:lpwstr/>
      </vt:variant>
      <vt:variant>
        <vt:lpwstr>_Toc506796493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Napomene</dc:title>
  <dc:creator>Darija</dc:creator>
  <cp:lastModifiedBy>Persa DUJAKOVIC</cp:lastModifiedBy>
  <cp:revision>13</cp:revision>
  <cp:lastPrinted>2020-10-16T07:03:00Z</cp:lastPrinted>
  <dcterms:created xsi:type="dcterms:W3CDTF">2021-04-07T12:54:00Z</dcterms:created>
  <dcterms:modified xsi:type="dcterms:W3CDTF">2021-04-14T08:09:00Z</dcterms:modified>
</cp:coreProperties>
</file>